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F3964"/>
          <w:sz w:val="36"/>
        </w:rPr>
        <w:t>INCA: Incremental Neural Capacity Allocation</w:t>
      </w:r>
    </w:p>
    <w:p>
      <w:pPr>
        <w:spacing w:after="120"/>
        <w:jc w:val="center"/>
      </w:pPr>
      <w:r>
        <w:rPr>
          <w:rFonts w:ascii="Times New Roman" w:hAnsi="Times New Roman"/>
          <w:b/>
          <w:color w:val="1F3964"/>
          <w:sz w:val="36"/>
        </w:rPr>
        <w:t>Saturation-Driven Vertical Growth for Continual Learning in Language Models</w:t>
      </w:r>
    </w:p>
    <w:p>
      <w:pPr>
        <w:spacing w:after="240"/>
        <w:jc w:val="center"/>
      </w:pPr>
      <w:r>
        <w:rPr>
          <w:rFonts w:ascii="Times New Roman" w:hAnsi="Times New Roman"/>
          <w:i/>
          <w:sz w:val="22"/>
        </w:rPr>
        <w:t>Nishant Kumar</w:t>
      </w:r>
    </w:p>
    <w:p>
      <w:pPr>
        <w:spacing w:after="240"/>
        <w:jc w:val="center"/>
      </w:pPr>
      <w:r>
        <w:rPr>
          <w:rFonts w:ascii="Times New Roman" w:hAnsi="Times New Roman"/>
          <w:i/>
          <w:sz w:val="22"/>
        </w:rPr>
        <w:t>[Affiliation] | [Email] | 2026</w:t>
      </w:r>
    </w:p>
    <w:p>
      <w:pPr>
        <w:spacing w:after="0" w:before="0"/>
        <w:pBdr>
          <w:bottom w:val="single" w:sz="6" w:space="1" w:color="1F3964"/>
        </w:pBdr>
      </w:pPr>
    </w:p>
    <w:p/>
    <w:p>
      <w:pPr>
        <w:pStyle w:val="Heading1"/>
      </w:pPr>
      <w:r>
        <w:t>Abstract</w:t>
      </w:r>
    </w:p>
    <w:p>
      <w:pPr>
        <w:spacing w:before="0" w:after="160"/>
        <w:ind w:left="576" w:right="576"/>
        <w:jc w:val="both"/>
      </w:pPr>
      <w:r>
        <w:rPr>
          <w:rFonts w:ascii="Times New Roman" w:hAnsi="Times New Roman"/>
          <w:sz w:val="21"/>
        </w:rPr>
        <w:t>Large language models (LLMs) acquire world knowledge during pre-training, yet this knowledge becomes stale the moment training ends. Sequential fine-tuning on new data causes catastrophic forgetting: gradient updates that encode new information destructively overwrite parameter configurations that stored old knowledge. Existing continual learning solutions either degrade with the number of tasks (regularization-based), require storing past data (replay-based), or grow the network on a rigid, human-defined schedule (architecture-based), none of which is suited to open-ended temporal knowledge streams.</w:t>
        <w:br/>
        <w:br/>
        <w:t>We present INCA (Incremental Neural Capacity Allocation), a continual learning framework for language models that grows its architecture on demand, driven by a learned saturation signal rather than a fixed task schedule. INCA appends new transformer blocks vertically to a frozen stack, triggering growth only when a dual-signal detector confirms that the current block can no longer improve on incoming data. The detector combines an EMA-smoothed probe accuracy signal with a loss-slope plateau criterion, making premature or delayed growth statistically unlikely under noisy evaluation conditions. Frozen blocks are permanently preserved as consolidated memory stores, while a quality-filtered replay buffer — populated with the hardest examples from each learned period — provides a lightweight anti-forgetting mechanism within the current block.</w:t>
        <w:br/>
        <w:br/>
        <w:t>Block outputs are integrated via a differentiable CrossAttentionSelector: for each block, a per-block hybrid gate (comprising a frozen expertise network and a trainable router) controls the block's contribution to the final representation, producing a soft, context-dependent temporal blend that is fully end-to-end differentiable. The design instantiates the Complementary Learning Systems (CLS) theory of memory consolidation in a transformer architecture: the replay buffer plays the role of the hippocampus (fast, episodic, temporary), while frozen blocks play the role of the neocortex (slow, consolidated, permanent). We evaluate INCA on TemporalWiki and CC-News with a comprehensive ablation suite covering saturation signal components, selector variants, replay budget, initialization strategy, and Hebbian learning extensions.</w:t>
      </w:r>
    </w:p>
    <w:p>
      <w:pPr>
        <w:spacing w:after="0" w:before="0"/>
        <w:pBdr>
          <w:bottom w:val="single" w:sz="6" w:space="1" w:color="1F3964"/>
        </w:pBdr>
      </w:pPr>
    </w:p>
    <w:p/>
    <w:p>
      <w:pPr>
        <w:pStyle w:val="Heading1"/>
      </w:pPr>
      <w:r>
        <w:t>1. Introduction</w:t>
      </w:r>
    </w:p>
    <w:p>
      <w:pPr>
        <w:ind w:firstLine="0"/>
        <w:jc w:val="both"/>
      </w:pPr>
      <w:r>
        <w:t>The knowledge that a language model carries is a frozen snapshot of the world as described in its training corpus. Once pre-training ends, the model cannot update what it knows without further gradient steps. When new information arrives — a political transition, a scientific discovery, a shift in named entities — the standard response is to fine-tune on new data. Yet sequential fine-tuning is destructive. Gradient updates that encode new facts overwrite the parameter configurations that encoded old ones, a phenomenon known as catastrophic forgetting [McCloskey &amp; Cohen, 1989; Ratcliff, 1990]. The model becomes accurate on recent data at the cost of accuracy on everything it previously knew.</w:t>
      </w:r>
    </w:p>
    <w:p>
      <w:pPr>
        <w:ind w:firstLine="0"/>
        <w:jc w:val="both"/>
      </w:pPr>
      <w:r>
        <w:t>This tension between plasticity and stability is the central challenge of continual learning. A model must be plastic enough to acquire new knowledge from a changing world, yet stable enough to retain what it has already learned. In humans, this balance is maintained by complementary learning systems operating at different timescales [McClelland et al., 1995]. In neural networks, no analogous mechanism exists by default.</w:t>
      </w:r>
    </w:p>
    <w:p>
      <w:pPr>
        <w:ind w:firstLine="0"/>
        <w:jc w:val="both"/>
      </w:pPr>
      <w:r>
        <w:t>The problem is especially acute for language models because their utility depends on currency of knowledge. A model trained through 2022 does not know who won a 2024 election, what drugs were approved in 2025, or what technologies emerged after its cutoff. Periodic full retraining is expensive and does not scale to continuous deployment. The challenge — how to allow a deployed language model to incrementally incorporate new knowledge without forgetting old knowledge — is therefore both a fundamental research question and a practical engineering necessity.</w:t>
      </w:r>
    </w:p>
    <w:p>
      <w:pPr>
        <w:ind w:firstLine="0"/>
        <w:jc w:val="both"/>
      </w:pPr>
      <w:r>
        <w:t>Existing approaches to continual learning fall into three broad families. Regularization-based methods, such as Elastic Weight Consolidation (EWC) [Kirkpatrick et al., 2017] and Synaptic Intelligence [Zenke et al., 2017], penalize updates to parameters deemed important for previous tasks. These methods impose no architectural overhead but degrade as the number of tasks grows. Replay-based methods [Rolnick et al., 2019; Buzzega et al., 2020] store a subset of past examples and interleave them with new training data. Replay is effective but requires storing past data that may be large, proprietary, or privacy-sensitive. Architecture-based methods [Rusu et al., 2016; Mallya &amp; Lazebnik, 2018] expand or partition the network to allocate dedicated capacity to each new task. These methods offer the strongest stability guarantee but require the number of tasks to be known in advance and grow the model by a fixed schedule regardless of whether the model has actually exhausted its capacity.</w:t>
      </w:r>
    </w:p>
    <w:p>
      <w:pPr>
        <w:ind w:firstLine="0"/>
        <w:jc w:val="both"/>
      </w:pPr>
      <w:r>
        <w:t>This paper addresses the fixed-schedule limitation of architecture-based methods directly. We argue that a model should grow not when a clock says it is time, but when the model itself signals that it cannot learn any more. This framing leads to a clean research question: can a saturation signal derived from training dynamics drive principled, adaptive architectural growth without human-specified task boundaries?</w:t>
      </w:r>
    </w:p>
    <w:p>
      <w:pPr>
        <w:ind w:firstLine="0"/>
        <w:jc w:val="both"/>
      </w:pPr>
      <w:r>
        <w:t>We present INCA (Incremental Neural Capacity Allocation), which answers this question affirmatively, with the following contributions:</w:t>
      </w:r>
    </w:p>
    <w:p>
      <w:pPr>
        <w:pStyle w:val="ListNumber"/>
        <w:spacing w:after="40"/>
      </w:pPr>
      <w:r>
        <w:t>A saturation-driven vertical growth criterion for continual learning in language models that requires no fixed task schedule and adapts growth rate to the complexity of the incoming data stream.</w:t>
      </w:r>
    </w:p>
    <w:p>
      <w:pPr>
        <w:pStyle w:val="ListNumber"/>
        <w:spacing w:after="40"/>
      </w:pPr>
      <w:r>
        <w:t>A dual-signal detector combining EMA-smoothed probe accuracy with loss-slope plateau confirmation, substantially reducing false positive and false negative growth triggers relative to accuracy-only approaches.</w:t>
      </w:r>
    </w:p>
    <w:p>
      <w:pPr>
        <w:pStyle w:val="ListNumber"/>
        <w:spacing w:after="40"/>
      </w:pPr>
      <w:r>
        <w:t>A per-block hybrid gate architecture (CrossAttentionSelector + PerBlockGate) that enables differentiable, context-dependent routing over frozen temporal blocks while preserving each block's learned expertise signal.</w:t>
      </w:r>
    </w:p>
    <w:p>
      <w:pPr>
        <w:pStyle w:val="ListNumber"/>
        <w:spacing w:after="40"/>
      </w:pPr>
      <w:r>
        <w:t>A theoretical connection to the Complementary Learning Systems (CLS) framework, grounding each architectural component in a well-established neuroscientific theory of memory consolidation.</w:t>
      </w:r>
    </w:p>
    <w:p>
      <w:pPr>
        <w:pStyle w:val="ListNumber"/>
        <w:spacing w:after="40"/>
      </w:pPr>
      <w:r>
        <w:t>Biologically-inspired Hebbian extensions (HebbianSelector, FrozenBlockHebbianUpdater) that allow frozen blocks to undergo slow local adaptation through Oja's rule, redefining 'frozen' as gradient-frozen but Hebbian-alive.</w:t>
      </w:r>
    </w:p>
    <w:p>
      <w:pPr>
        <w:pStyle w:val="ListNumber"/>
        <w:spacing w:after="40"/>
      </w:pPr>
      <w:r>
        <w:t>Empirical evaluation on TemporalWiki and CC-News with a comprehensive ablation suite covering saturation signal components, selector variants, replay budget, initialization strategy, and Hebbian extensions.</w:t>
      </w:r>
    </w:p>
    <w:p/>
    <w:p>
      <w:pPr>
        <w:pStyle w:val="Heading1"/>
      </w:pPr>
      <w:r>
        <w:t>2. Background and Motivation</w:t>
      </w:r>
    </w:p>
    <w:p>
      <w:pPr>
        <w:pStyle w:val="Heading2"/>
      </w:pPr>
      <w:r>
        <w:t>2.1 The Plasticity–Stability Dilemma</w:t>
      </w:r>
    </w:p>
    <w:p>
      <w:pPr>
        <w:ind w:firstLine="0"/>
        <w:jc w:val="both"/>
      </w:pPr>
      <w:r>
        <w:t>The plasticity-stability dilemma is a fundamental constraint on learning systems that must operate over time. A maximally plastic system — one that adjusts all parameters freely to minimize loss on current data — will overwrite previous knowledge every time new data arrives. A maximally stable system — one that changes nothing — cannot incorporate new knowledge at all. Useful continual learning requires navigating the intermediate regime: acquiring new knowledge without destroying old knowledge.</w:t>
      </w:r>
    </w:p>
    <w:p>
      <w:pPr>
        <w:ind w:firstLine="0"/>
        <w:jc w:val="both"/>
      </w:pPr>
      <w:r>
        <w:t>In neural networks, this dilemma manifests as catastrophic forgetting [McCloskey &amp; Cohen, 1989]. Stochastic gradient descent adjusts parameters to minimize the current task's loss, without protecting parameters critical for past tasks. The severity of forgetting scales with the overlap between the parameter subspaces exploited by different tasks [Goodfellow et al., 2013]: if different tasks use different parameters, forgetting is low; if tasks use the same parameters in conflicting ways, forgetting is severe.</w:t>
      </w:r>
    </w:p>
    <w:p>
      <w:pPr>
        <w:pStyle w:val="Heading2"/>
      </w:pPr>
      <w:r>
        <w:t>2.2 Complementary Learning Systems Theory</w:t>
      </w:r>
    </w:p>
    <w:p>
      <w:pPr>
        <w:ind w:firstLine="0"/>
        <w:jc w:val="both"/>
      </w:pPr>
      <w:r>
        <w:t>The biological solution to the plasticity-stability dilemma is not a single adaptive system but a pair of systems with complementary properties. McClelland, McNaughton, and O'Reilly [1995] proposed the Complementary Learning Systems (CLS) theory to explain why the brain uses both the hippocampus and the neocortex for memory, rather than either alone.</w:t>
      </w:r>
    </w:p>
    <w:p>
      <w:pPr>
        <w:ind w:firstLine="0"/>
        <w:jc w:val="both"/>
      </w:pPr>
      <w:r>
        <w:t>The hippocampus functions as a fast, high-capacity, episodic memory store. It can rapidly bind arbitrary new associations through strong, sparse representations. Hippocampal memory is temporary: the hippocampus replays memories to the neocortex during sleep, driving slow cortical consolidation. This integrates new information into the neocortex's distributed representations without catastrophically disrupting existing knowledge. The neocortex functions as a slow, distributed semantic memory store whose representations generalize across experiences. The division of labor solves the plasticity-stability dilemma: fast hippocampal binding allows rapid learning without touching the neocortex, while slow replay-driven consolidation allows the neocortex to integrate information across time without catastrophic interference.</w:t>
      </w:r>
    </w:p>
    <w:p>
      <w:pPr>
        <w:ind w:firstLine="0"/>
        <w:jc w:val="both"/>
      </w:pPr>
      <w:r>
        <w:t>Kumaran et al. [2016] reviewed neuroimaging and lesion evidence supporting CLS theory. Frankland and Bontempi [2005] investigated the time course of hippocampal-to-cortical transfer. The theory remains one of the most influential accounts of biological memory organization and is directly instantiated in INCA's architecture (Section 5).</w:t>
      </w:r>
    </w:p>
    <w:p>
      <w:pPr>
        <w:pStyle w:val="Heading2"/>
      </w:pPr>
      <w:r>
        <w:t>2.3 The Temporal Knowledge Problem in Language Models</w:t>
      </w:r>
    </w:p>
    <w:p>
      <w:pPr>
        <w:ind w:firstLine="0"/>
        <w:jc w:val="both"/>
      </w:pPr>
      <w:r>
        <w:t>Language models pre-trained on static corpora have a fixed knowledge horizon. Their factual knowledge, named entities, world events, and contextual associations are all anchored to the period covered by the training data. Dhingra et al. [2022] introduced TemporalWiki and showed that model perplexity on later periods is significantly higher than on the training period. Lazaridou et al. [2021] showed that LLMs fail on questions about events after their training cutoff, with degradation proportional to topic evolution. Jang et al. [2022] showed that real-time QA benchmarks degrade rapidly without model updates.</w:t>
      </w:r>
    </w:p>
    <w:p>
      <w:pPr>
        <w:ind w:firstLine="0"/>
        <w:jc w:val="both"/>
      </w:pPr>
      <w:r>
        <w:t>The naive fix — periodic full retraining — is expensive and does not address the problem for deployed models. Fine-tuning on new data induces catastrophic forgetting. The temporal continual learning problem is: how to allow a deployed language model to incorporate new factual knowledge from a continuous temporal stream, without forgetting what it previously knew, and without requiring access to all previous data for joint retraining.</w:t>
      </w:r>
    </w:p>
    <w:p/>
    <w:p>
      <w:pPr>
        <w:pStyle w:val="Heading1"/>
      </w:pPr>
      <w:r>
        <w:t>3. Related Work</w:t>
      </w:r>
    </w:p>
    <w:p>
      <w:pPr>
        <w:pStyle w:val="Heading2"/>
      </w:pPr>
      <w:r>
        <w:t>3.1 Regularization-Based Continual Learning</w:t>
      </w:r>
    </w:p>
    <w:p>
      <w:pPr>
        <w:ind w:firstLine="0"/>
        <w:jc w:val="both"/>
      </w:pPr>
      <w:r>
        <w:t>Regularization-based methods add a penalty to the loss function discouraging large changes to parameters deemed important for previous tasks. Elastic Weight Consolidation (EWC) [Kirkpatrick et al., 2017] uses the diagonal Fisher information matrix as a parameter importance proxy. Synaptic Intelligence (SI) [Zenke et al., 2017] accumulates per-parameter importance online. Memory Aware Synapses (MAS) [Aljundi et al., 2018] estimates importance as output sensitivity. Online EWC [Schwarz et al., 2018] consolidates Fisher matrices into a running estimate. These methods are architecturally lightweight but degrade as the number of tasks grows: importance estimates from all past tasks eventually constrain the entire parameter space, making it impossible to learn new tasks without significant forgetting.</w:t>
      </w:r>
    </w:p>
    <w:p>
      <w:pPr>
        <w:pStyle w:val="Heading2"/>
      </w:pPr>
      <w:r>
        <w:t>3.2 Replay-Based Continual Learning</w:t>
      </w:r>
    </w:p>
    <w:p>
      <w:pPr>
        <w:ind w:firstLine="0"/>
        <w:jc w:val="both"/>
      </w:pPr>
      <w:r>
        <w:t>Replay-based methods maintain a buffer of past examples interleaved with new training data. Experience Replay (ER) [Rolnick et al., 2019] stores random past samples. Dark Experience Replay (DER) [Buzzega et al., 2020] additionally stores model logits for distillation. Gradient Episodic Memory (GEM) [Lopez-Paz &amp; Ranzato, 2017] constrains gradient updates not to increase past task losses. A-GEM [Chaudhry et al., 2018] reduces GEM's compute cost. Generative replay [Shin et al., 2017] trains a generative model to synthesize past data. Replay methods are empirically strong but require storing or regenerating past data — impractical for large temporal corpora. INCA's replay buffer is intentionally small (bounded by max_per_period × current block's period count) and is cleared after each block freeze.</w:t>
      </w:r>
    </w:p>
    <w:p>
      <w:pPr>
        <w:pStyle w:val="Heading2"/>
      </w:pPr>
      <w:r>
        <w:t>3.3 Architecture-Based Continual Learning</w:t>
      </w:r>
    </w:p>
    <w:p>
      <w:pPr>
        <w:ind w:firstLine="0"/>
        <w:jc w:val="both"/>
      </w:pPr>
      <w:r>
        <w:t>Architecture-based methods prevent forgetting by construction. Progressive Neural Networks (PNN) [Rusu et al., 2016] allocate a new column per task with lateral connections to previous columns. PackNet [Mallya &amp; Lazebnik, 2018] iteratively prunes parameters after each task. DEN [Yoon et al., 2018] dynamically grows the network by adding neurons when existing capacity is insufficient. For transformers, adapter modules [Pfeiffer et al., 2020; Houlsby et al., 2019] assign separate adapters per task while sharing the backbone. HAT [Serra et al., 2018] uses hard binary attention masks to gate access to subnetworks per task.</w:t>
      </w:r>
    </w:p>
    <w:p>
      <w:pPr>
        <w:ind w:firstLine="0"/>
        <w:jc w:val="both"/>
      </w:pPr>
      <w:r>
        <w:t>Most directly relevant to INCA is LLaMA-Pro [Wu et al., 2024], published at ACL 2024, which proposes block expansion as a post-pretraining method for LLMs. LLaMA-Pro copies existing transformer blocks and inserts them at fixed positions in the stack. Crucially, the newly added blocks are identity-initialized: their feed-forward weight matrices (W1, W2, W3) are zero-initialized so that, combined with residual connections and the absence of bias terms, each new block acts as an exact identity function at initialization. Only the new blocks are fine-tuned on domain-specific data (code and mathematics); the original blocks remain frozen throughout. This yields LLaMA-Pro-8.3B from LLaMA2-7B, achieving strong performance on general, programming, and mathematical benchmarks without catastrophic forgetting of the original model's capabilities.</w:t>
      </w:r>
    </w:p>
    <w:p>
      <w:pPr>
        <w:ind w:firstLine="0"/>
        <w:jc w:val="both"/>
      </w:pPr>
      <w:r>
        <w:t>LLaMA-Pro establishes that vertical block expansion with frozen original blocks is a viable strategy for knowledge injection in LLMs. INCA extends this in three key ways: (1) growth is adaptive and saturation-driven rather than fixed and predetermined — INCA grows only when the model's own signals confirm capacity exhaustion; (2) INCA uses warm-start initialization (copying the last trained block's weights) rather than zero/identity initialization, preserving recently learned representations; and (3) INCA targets sequential multi-period continual learning with explicit backward transfer evaluation, whereas LLaMA-Pro addresses one-shot domain expansion. The fundamental limitation shared by all prior architecture-based methods — including LLaMA-Pro — is reliance on external triggers for growth. INCA removes this assumption: growth is triggered entirely by the model's own learning dynamics.</w:t>
      </w:r>
    </w:p>
    <w:p>
      <w:pPr>
        <w:pStyle w:val="Heading2"/>
      </w:pPr>
      <w:r>
        <w:t>3.4 Continual Pretraining of Language Models</w:t>
      </w:r>
    </w:p>
    <w:p>
      <w:pPr>
        <w:ind w:firstLine="0"/>
        <w:jc w:val="both"/>
      </w:pPr>
      <w:r>
        <w:t>Continual pretraining continues training a language model on new data to update its knowledge. Retrieval-augmented approaches [Guu et al., 2020; Lewis et al., 2020] incorporate new knowledge without gradient updates by conditioning generation on retrieved documents. Lazaridou et al. [2021] found that fine-tuning on recent data improves recent queries at the cost of older ones. LoRA [Hu et al., 2022] and other parameter-efficient methods reduce training cost but still suffer from forgetting when applied sequentially. INCA provides hard structural guarantees against forgetting through architectural isolation, rather than soft regularization.</w:t>
      </w:r>
    </w:p>
    <w:p>
      <w:pPr>
        <w:pStyle w:val="Heading2"/>
      </w:pPr>
      <w:r>
        <w:t>3.5 Neural Architecture Growth and Saturation</w:t>
      </w:r>
    </w:p>
    <w:p>
      <w:pPr>
        <w:ind w:firstLine="0"/>
        <w:jc w:val="both"/>
      </w:pPr>
      <w:r>
        <w:t>Cascade-Correlation [Fahlman &amp; Lebiere, 1990] adds hidden units one at a time when the existing network ceases to improve — the closest philosophical predecessor to INCA's data-driven growth trigger. Neural Architecture Search [Zoph &amp; Le, 2017] searches over architectures but does not use training dynamics as a continuous growth signal. DEN [Yoon et al., 2018] grows laterally (adding neurons) rather than vertically (adding transformer blocks) and does not use a dual-signal trigger.</w:t>
      </w:r>
    </w:p>
    <w:p>
      <w:pPr>
        <w:ind w:firstLine="0"/>
        <w:jc w:val="both"/>
      </w:pPr>
      <w:r>
        <w:t>LLaMA-Pro [Wu et al., 2024] is the most relevant prior work on vertical transformer growth: it adds copied transformer blocks at fixed positions with identity initialization and fine-tunes only the new blocks. The key distinction is that LLaMA-Pro's growth is a fixed, human-specified expansion performed once after pre-training, whereas INCA grows continuously and adaptively in response to a learned saturation signal, requiring no human specification of when or how many blocks to add. The closest prior work combining vertical growth with temporal language model training is INCA itself.</w:t>
      </w:r>
    </w:p>
    <w:p/>
    <w:p>
      <w:pPr>
        <w:pStyle w:val="Heading1"/>
      </w:pPr>
      <w:r>
        <w:t>4. The INCA Framework</w:t>
      </w:r>
    </w:p>
    <w:p>
      <w:pPr>
        <w:pStyle w:val="Heading2"/>
      </w:pPr>
      <w:r>
        <w:t>4.1 Overview and Design Principles</w:t>
      </w:r>
    </w:p>
    <w:p>
      <w:pPr>
        <w:ind w:firstLine="0"/>
        <w:jc w:val="both"/>
      </w:pPr>
      <w:r>
        <w:t>INCA is designed around three core principles:</w:t>
      </w:r>
    </w:p>
    <w:p>
      <w:pPr>
        <w:jc w:val="both"/>
      </w:pPr>
      <w:r>
        <w:rPr>
          <w:rFonts w:ascii="Times New Roman" w:hAnsi="Times New Roman"/>
          <w:b/>
          <w:sz w:val="22"/>
        </w:rPr>
        <w:t xml:space="preserve">Principle 1 — Adaptive growth.  </w:t>
      </w:r>
      <w:r>
        <w:rPr>
          <w:rFonts w:ascii="Times New Roman" w:hAnsi="Times New Roman"/>
          <w:sz w:val="22"/>
        </w:rPr>
        <w:t>The model should grow in response to measured saturation, not a fixed clock. Growth rate is proportional to the rate of knowledge change in the data stream.</w:t>
      </w:r>
    </w:p>
    <w:p>
      <w:pPr>
        <w:jc w:val="both"/>
      </w:pPr>
      <w:r>
        <w:rPr>
          <w:rFonts w:ascii="Times New Roman" w:hAnsi="Times New Roman"/>
          <w:b/>
          <w:sz w:val="22"/>
        </w:rPr>
        <w:t xml:space="preserve">Principle 2 — Hard structural isolation.  </w:t>
      </w:r>
      <w:r>
        <w:rPr>
          <w:rFonts w:ascii="Times New Roman" w:hAnsi="Times New Roman"/>
          <w:sz w:val="22"/>
        </w:rPr>
        <w:t>Frozen blocks carry no gradient. The stability guarantee is absolute, not probabilistic: no gradient update on the current block can modify knowledge in a frozen block.</w:t>
      </w:r>
    </w:p>
    <w:p>
      <w:pPr>
        <w:jc w:val="both"/>
      </w:pPr>
      <w:r>
        <w:rPr>
          <w:rFonts w:ascii="Times New Roman" w:hAnsi="Times New Roman"/>
          <w:b/>
          <w:sz w:val="22"/>
        </w:rPr>
        <w:t xml:space="preserve">Principle 3 — Differentiable, context-sensitive routing.  </w:t>
      </w:r>
      <w:r>
        <w:rPr>
          <w:rFonts w:ascii="Times New Roman" w:hAnsi="Times New Roman"/>
          <w:sz w:val="22"/>
        </w:rPr>
        <w:t>Aggregation over frozen and current blocks must be fully differentiable and adapt to the input query. Soft cross-attention routing allows the model to blend contributions according to query relevance, recovering knowledge from any temporal period.</w:t>
      </w:r>
    </w:p>
    <w:p>
      <w:pPr>
        <w:pStyle w:val="Heading2"/>
      </w:pPr>
      <w:r>
        <w:t>4.2 Architecture: Vertical Stack with CrossAttentionSelector</w:t>
      </w:r>
    </w:p>
    <w:p>
      <w:pPr>
        <w:ind w:firstLine="0"/>
        <w:jc w:val="both"/>
      </w:pPr>
      <w:r>
        <w:t>The base model is GPT-2 or DistilGPT-2. The standard transformer block stack is replaced by INCA's INCALayerManager, which at any point maintains: (1) a list of frozen blocks F_0, ..., F_{n-1} with requires_grad=False; (2) a single current block C with requires_grad=True; and (3) a CrossAttentionSelector aggregating all block outputs. The forward pass is:</w:t>
      </w:r>
    </w:p>
    <w:p>
      <w:pPr>
        <w:spacing w:before="80" w:after="80"/>
        <w:ind w:left="576"/>
      </w:pPr>
      <w:r>
        <w:rPr>
          <w:rFonts w:ascii="Courier New" w:hAnsi="Courier New"/>
          <w:sz w:val="18"/>
        </w:rPr>
        <w:t>hidden = Embed(input_ids) + PositionalEmbed(positions)</w:t>
        <w:br/>
        <w:t>x_0 = hidden</w:t>
        <w:br/>
        <w:t>[no_grad]: x_1 = F_0(x_0); ...; x_n = F_{n-1}(x_{n-1})</w:t>
        <w:br/>
        <w:t>x_{n+1} = C(x_n)   [gradients flow here only]</w:t>
        <w:br/>
        <w:t>output = CrossAttentionSelector(query=hidden, kv_list=[x_1,...,x_{n+1}])</w:t>
        <w:br/>
        <w:t>logits = LMHead(LayerNorm(output))</w:t>
      </w:r>
    </w:p>
    <w:p>
      <w:pPr>
        <w:ind w:firstLine="0"/>
        <w:jc w:val="both"/>
      </w:pPr>
      <w:r>
        <w:t>The CrossAttentionSelector receives the original input embeddings as query and all block outputs as keys/values, allowing it to answer 'given this input, which temporal periods are most relevant?' grounded in the raw input signal.</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3352800"/>
                    </a:xfrm>
                    <a:prstGeom prst="rect"/>
                  </pic:spPr>
                </pic:pic>
              </a:graphicData>
            </a:graphic>
          </wp:inline>
        </w:drawing>
      </w:r>
    </w:p>
    <w:p>
      <w:pPr>
        <w:jc w:val="center"/>
      </w:pPr>
      <w:r>
        <w:rPr>
          <w:rFonts w:ascii="Times New Roman" w:hAnsi="Times New Roman"/>
          <w:i/>
          <w:sz w:val="19"/>
        </w:rPr>
        <w:t>Figure 1: INCA Architecture. The input passes through a stack of frozen blocks (pink), each preserving knowledge from a completed temporal period, followed by the current trainable block (yellow). A CrossAttentionSelector (blue) aggregates all block outputs using the original input as query, producing the final token representations fed to the language model head.</w:t>
      </w:r>
    </w:p>
    <w:p/>
    <w:p>
      <w:pPr>
        <w:jc w:val="center"/>
      </w:pPr>
      <w:r>
        <w:drawing>
          <wp:inline xmlns:a="http://schemas.openxmlformats.org/drawingml/2006/main" xmlns:pic="http://schemas.openxmlformats.org/drawingml/2006/picture">
            <wp:extent cx="5029200" cy="2990335"/>
            <wp:docPr id="2" name="Picture 2"/>
            <wp:cNvGraphicFramePr>
              <a:graphicFrameLocks noChangeAspect="1"/>
            </wp:cNvGraphicFramePr>
            <a:graphic>
              <a:graphicData uri="http://schemas.openxmlformats.org/drawingml/2006/picture">
                <pic:pic>
                  <pic:nvPicPr>
                    <pic:cNvPr id="0" name="inca_architecture_simple.png"/>
                    <pic:cNvPicPr/>
                  </pic:nvPicPr>
                  <pic:blipFill>
                    <a:blip r:embed="rId10"/>
                    <a:stretch>
                      <a:fillRect/>
                    </a:stretch>
                  </pic:blipFill>
                  <pic:spPr>
                    <a:xfrm>
                      <a:off x="0" y="0"/>
                      <a:ext cx="5029200" cy="2990335"/>
                    </a:xfrm>
                    <a:prstGeom prst="rect"/>
                  </pic:spPr>
                </pic:pic>
              </a:graphicData>
            </a:graphic>
          </wp:inline>
        </w:drawing>
      </w:r>
    </w:p>
    <w:p>
      <w:pPr>
        <w:jc w:val="center"/>
      </w:pPr>
      <w:r>
        <w:rPr>
          <w:rFonts w:ascii="Times New Roman" w:hAnsi="Times New Roman"/>
          <w:i/>
          <w:sz w:val="19"/>
        </w:rPr>
        <w:t>Figure 2: Detailed INCA Architecture. The full system with the CrossAttentionSelector showing per-block gates (expertise network + router), cross-attention heads, and the PerBlockGate hybrid gate equation. Green blocks are frozen; the active training block is highlighted. Saturation logic, replay buffer lifecycle, and selector output pathway are annotated.</w:t>
      </w:r>
    </w:p>
    <w:p/>
    <w:p>
      <w:pPr>
        <w:pStyle w:val="Heading2"/>
      </w:pPr>
      <w:r>
        <w:t>4.3 Dual-Signal Saturation Detection</w:t>
      </w:r>
    </w:p>
    <w:p>
      <w:pPr>
        <w:pStyle w:val="Heading3"/>
      </w:pPr>
      <w:r>
        <w:t>4.3.1 Probe Accuracy Measurement</w:t>
      </w:r>
    </w:p>
    <w:p>
      <w:pPr>
        <w:ind w:firstLine="0"/>
        <w:jc w:val="both"/>
      </w:pPr>
      <w:r>
        <w:t>At each evaluation step, cloze-style probe questions from the current period are presented to the model. Each probe has one correct answer and three distractors scored by cross-entropy loss. The candidate with lowest loss is the model's prediction. With 50 probes and 4 choices, random chance gives 25% accuracy with approximately ±7% standard deviation — too noisy for reliable saturation detection without smoothing.</w:t>
      </w:r>
    </w:p>
    <w:p>
      <w:pPr>
        <w:pStyle w:val="Heading3"/>
      </w:pPr>
      <w:r>
        <w:t>4.3.2 EMA Smoothing</w:t>
      </w:r>
    </w:p>
    <w:p>
      <w:pPr>
        <w:ind w:firstLine="0"/>
        <w:jc w:val="both"/>
      </w:pPr>
      <w:r>
        <w:t>Both detectors apply exponential moving average smoothing to raw accuracy before comparing against thresholds. With smoothing factor α = 0.4 (half-life ≈ 1.5 evaluation steps):</w:t>
      </w:r>
    </w:p>
    <w:p>
      <w:pPr>
        <w:spacing w:before="80" w:after="80"/>
        <w:jc w:val="center"/>
      </w:pPr>
      <w:r>
        <w:rPr>
          <w:rFonts w:ascii="Cambria Math" w:hAnsi="Cambria Math"/>
          <w:i/>
          <w:sz w:val="22"/>
        </w:rPr>
        <w:t>â_t = α · a_t + (1 − α) · â_{t-1}</w:t>
      </w:r>
    </w:p>
    <w:p>
      <w:pPr>
        <w:ind w:firstLine="0"/>
        <w:jc w:val="both"/>
      </w:pPr>
      <w:r>
        <w:t>Streak counters operate on the EMA â rather than raw accuracy a, absorbing single-evaluation noise spikes while tracking genuine improvement.</w:t>
      </w:r>
    </w:p>
    <w:p>
      <w:pPr>
        <w:pStyle w:val="Heading3"/>
      </w:pPr>
      <w:r>
        <w:t>4.3.3 PeriodLearnedDetector</w:t>
      </w:r>
    </w:p>
    <w:p>
      <w:pPr>
        <w:ind w:firstLine="0"/>
        <w:jc w:val="both"/>
      </w:pPr>
      <w:r>
        <w:t>Fires when EMA-smoothed accuracy exceeds τ_high = 0.80 for patience_learned = 3 consecutive evaluations:</w:t>
      </w:r>
    </w:p>
    <w:p>
      <w:pPr>
        <w:spacing w:before="80" w:after="80"/>
        <w:jc w:val="center"/>
      </w:pPr>
      <w:r>
        <w:rPr>
          <w:rFonts w:ascii="Cambria Math" w:hAnsi="Cambria Math"/>
          <w:i/>
          <w:sz w:val="22"/>
        </w:rPr>
        <w:t>PeriodLearned ⟵ â_t ≥ τ_high  for k ≥ p_learned consecutive steps</w:t>
      </w:r>
    </w:p>
    <w:p>
      <w:pPr>
        <w:ind w:firstLine="0"/>
        <w:jc w:val="both"/>
      </w:pPr>
      <w:r>
        <w:t>When fired: the current period's stream items are scored by cross-entropy, the top-k hardest items are added to the replay buffer, training advances to the next period (same block continues), and both detectors are reset.</w:t>
      </w:r>
    </w:p>
    <w:p>
      <w:pPr>
        <w:pStyle w:val="Heading3"/>
      </w:pPr>
      <w:r>
        <w:t>4.3.4 BlockFullDetector</w:t>
      </w:r>
    </w:p>
    <w:p>
      <w:pPr>
        <w:ind w:firstLine="0"/>
        <w:jc w:val="both"/>
      </w:pPr>
      <w:r>
        <w:t>Fires when EMA-smoothed accuracy falls below τ_low = 0.60 AND the training loss has plateaued, for patience_full = 5 consecutive evaluations:</w:t>
      </w:r>
    </w:p>
    <w:p>
      <w:pPr>
        <w:spacing w:before="80" w:after="80"/>
        <w:jc w:val="center"/>
      </w:pPr>
      <w:r>
        <w:rPr>
          <w:rFonts w:ascii="Cambria Math" w:hAnsi="Cambria Math"/>
          <w:i/>
          <w:sz w:val="22"/>
        </w:rPr>
        <w:t>BlockFull ⟵ â_t &lt; τ_low  AND  |slope(loss)| &lt; ε  for k ≥ p_full steps</w:t>
      </w:r>
    </w:p>
    <w:p>
      <w:pPr>
        <w:ind w:firstLine="0"/>
        <w:jc w:val="both"/>
      </w:pPr>
      <w:r>
        <w:t>Loss slope is computed over a sliding window of width w = 5: slope_t = (loss_t − loss_{t-w+1}) / (w-1), with ε = 0.001. The conjunction of accuracy and loss conditions is critical: a noisy accuracy dip cannot trigger growth if loss is still declining, preventing the most common false positive in accuracy-only saturation detection.</w:t>
      </w:r>
    </w:p>
    <w:p>
      <w:pPr>
        <w:ind w:firstLine="0"/>
        <w:jc w:val="both"/>
      </w:pPr>
      <w:r>
        <w:t>When BlockFull fires: (1) the current block is frozen; (2) the CrossAttentionSelector's expertise network for this block is frozen while its router remains trainable; (3) a new block is warm-started from the current block; (4) the replay buffer is cleared; (5) the current period is retried on the new block; (6) both detectors are reset.</w:t>
      </w:r>
    </w:p>
    <w:p>
      <w:pPr>
        <w:pStyle w:val="Heading3"/>
      </w:pPr>
      <w:r>
        <w:t>4.3.5 State Machine</w:t>
      </w:r>
    </w:p>
    <w:p>
      <w:pPr>
        <w:spacing w:before="80" w:after="80"/>
        <w:ind w:left="576"/>
      </w:pPr>
      <w:r>
        <w:rPr>
          <w:rFonts w:ascii="Courier New" w:hAnsi="Courier New"/>
          <w:sz w:val="18"/>
        </w:rPr>
        <w:t>[TRAINING] → eval → Check PeriodLearnedDetector</w:t>
        <w:br/>
        <w:t xml:space="preserve">                       | fires: add replay, advance period, reset → [TRAINING]</w:t>
        <w:br/>
        <w:t xml:space="preserve">                     Check BlockFullDetector</w:t>
        <w:br/>
        <w:t xml:space="preserve">                       | fires: freeze, grow, clear replay, retry → [TRAINING]</w:t>
        <w:br/>
        <w:t xml:space="preserve">                       | neither fires → [TRAINING]</w:t>
      </w:r>
    </w:p>
    <w:p>
      <w:pPr>
        <w:pStyle w:val="Heading2"/>
      </w:pPr>
      <w:r>
        <w:t>4.4 Differentiable Block Routing: CrossAttentionSelector</w:t>
      </w:r>
    </w:p>
    <w:p>
      <w:pPr>
        <w:pStyle w:val="Heading3"/>
      </w:pPr>
      <w:r>
        <w:t>4.4.1 Per-Block Hybrid Gate (PerBlockGate)</w:t>
      </w:r>
    </w:p>
    <w:p>
      <w:pPr>
        <w:ind w:firstLine="0"/>
        <w:jc w:val="both"/>
      </w:pPr>
      <w:r>
        <w:t>Each block has an associated PerBlockGate with two components. The expertise network (frozen when the block is frozen) is a small MLP learning 'does this query match what I know?' during the block's active period. The router (always trainable) is a single linear layer enabling routing recalibration as new blocks are added. The gate output:</w:t>
      </w:r>
    </w:p>
    <w:p>
      <w:pPr>
        <w:spacing w:before="80" w:after="80"/>
        <w:jc w:val="center"/>
      </w:pPr>
      <w:r>
        <w:rPr>
          <w:rFonts w:ascii="Cambria Math" w:hAnsi="Cambria Math"/>
          <w:i/>
          <w:sz w:val="22"/>
        </w:rPr>
        <w:t>g_i(q) = σ(expertise_i(q) + clamp(router_i(q), −3, +3))  ∈ (0,1)</w:t>
      </w:r>
    </w:p>
    <w:p>
      <w:pPr>
        <w:ind w:firstLine="0"/>
        <w:jc w:val="both"/>
      </w:pPr>
      <w:r>
        <w:t>The ±3 clamping bound ensures the frozen expertise signal always influences the gate: the router cannot fully silence or saturate a frozen block.</w:t>
      </w:r>
    </w:p>
    <w:p>
      <w:pPr>
        <w:pStyle w:val="Heading3"/>
      </w:pPr>
      <w:r>
        <w:t>4.4.2 CrossAttentionSelector Forward Pass</w:t>
      </w:r>
    </w:p>
    <w:p>
      <w:pPr>
        <w:ind w:firstLine="0"/>
        <w:jc w:val="both"/>
      </w:pPr>
      <w:r>
        <w:t>For each block i in the stack (frozen and current):</w:t>
      </w:r>
    </w:p>
    <w:p>
      <w:pPr>
        <w:spacing w:before="80" w:after="80"/>
        <w:jc w:val="center"/>
      </w:pPr>
      <w:r>
        <w:rPr>
          <w:rFonts w:ascii="Cambria Math" w:hAnsi="Cambria Math"/>
          <w:i/>
          <w:sz w:val="22"/>
        </w:rPr>
        <w:t>attn_i = MultiHeadAttn(Q=query, K=x_i, V=x_i)</w:t>
      </w:r>
    </w:p>
    <w:p>
      <w:pPr>
        <w:spacing w:before="80" w:after="80"/>
        <w:jc w:val="center"/>
      </w:pPr>
      <w:r>
        <w:rPr>
          <w:rFonts w:ascii="Cambria Math" w:hAnsi="Cambria Math"/>
          <w:i/>
          <w:sz w:val="22"/>
        </w:rPr>
        <w:t>contrib_i = g_i(query) · attn_i</w:t>
      </w:r>
    </w:p>
    <w:p>
      <w:pPr>
        <w:spacing w:before="80" w:after="80"/>
        <w:jc w:val="center"/>
      </w:pPr>
      <w:r>
        <w:rPr>
          <w:rFonts w:ascii="Cambria Math" w:hAnsi="Cambria Math"/>
          <w:i/>
          <w:sz w:val="22"/>
        </w:rPr>
        <w:t>output = LayerNorm(1/n · Σ contrib_i)</w:t>
      </w:r>
    </w:p>
    <w:p>
      <w:pPr>
        <w:ind w:firstLine="0"/>
        <w:jc w:val="both"/>
      </w:pPr>
      <w:r>
        <w:t>The attention head (4 heads) for each block is frozen alongside the expertise network when the block is frozen. The router for each block remains trainable throughout. This preserves the exact cross-attention pattern learned for each temporal period while allowing overall routing to be recalibrated as blocks accumulate.</w:t>
      </w:r>
    </w:p>
    <w:p>
      <w:pPr>
        <w:pStyle w:val="Heading3"/>
      </w:pPr>
      <w:r>
        <w:t>4.4.3 Ablation Selectors</w:t>
      </w:r>
    </w:p>
    <w:p>
      <w:pPr>
        <w:ind w:firstLine="0"/>
        <w:jc w:val="both"/>
      </w:pPr>
      <w:r>
        <w:t>WeightedSumSelector is a dot-product baseline: a global context vector scores each block via a shared linear layer; softmax weights the outputs. GatedSelector uses per-block hybrid gates but replaces cross-attention with direct gated summation. These form an ablation ladder: WeightedSum → Gated → CrossAttention.</w:t>
      </w:r>
    </w:p>
    <w:p>
      <w:pPr>
        <w:pStyle w:val="Heading2"/>
      </w:pPr>
      <w:r>
        <w:t>4.5 Quality-Filtered Replay Buffer</w:t>
      </w:r>
    </w:p>
    <w:p>
      <w:pPr>
        <w:ind w:firstLine="0"/>
        <w:jc w:val="both"/>
      </w:pPr>
      <w:r>
        <w:t>When PeriodLearned fires, all stream items from the current period are scored by per-item cross-entropy loss. Items are sorted descending by loss and the top-k retained (k = min(max_per_period, |candidates|)), with items shorter than 80 characters excluded. High-loss items at the end of training contain information the model still finds difficult — they are most valuable to replay in future training.</w:t>
      </w:r>
    </w:p>
    <w:p>
      <w:pPr>
        <w:ind w:firstLine="0"/>
        <w:jc w:val="both"/>
      </w:pPr>
      <w:r>
        <w:t>Replay items are randomly interleaved with current-period batches. The buffer is cleared at freeze_and_grow(): each block starts with fresh episodic memory, and total replay footprint is bounded by max_per_period × (periods learned in current block).</w:t>
      </w:r>
    </w:p>
    <w:p>
      <w:pPr>
        <w:pStyle w:val="Heading2"/>
      </w:pPr>
      <w:r>
        <w:t>4.6 Warm-Start Block Initialization</w:t>
      </w:r>
    </w:p>
    <w:p>
      <w:pPr>
        <w:ind w:firstLine="0"/>
        <w:jc w:val="both"/>
      </w:pPr>
      <w:r>
        <w:t>When freeze_and_grow() is called, the new block is initialized as a deep copy of the current block before freezing. The new block inherits all weights learned in the previous block's training period, beginning training on the new period from a representation that has already encoded structural patterns from recent data rather than from the original pre-trained GPT-2 Block 0 weights. Warm-starting amortizes the cost of re-learning structural patterns shared across consecutive temporal periods.</w:t>
      </w:r>
    </w:p>
    <w:p>
      <w:pPr>
        <w:ind w:firstLine="0"/>
        <w:jc w:val="both"/>
      </w:pPr>
      <w:r>
        <w:t>This contrasts with the identity/zero initialization used by LLaMA-Pro [Wu et al., 2024], where new blocks are zero-initialized in their feed-forward weights so that the entire block acts as an identity function at the start of fine-tuning. Identity initialization is appropriate for one-shot domain expansion from a fully converged pre-trained model, where the new block needs to learn domain-specific structure from a clean slate without bias from the previous block's general-purpose representations. In INCA's sequential continual learning setting, however, the current block has encoded recent temporal patterns that are valuable starting points for the next temporal period — discarding them via zero-initialization would waste early training epochs re-learning structure that is already present. The ablation in Section 8.7 quantifies this difference empirically.</w:t>
      </w:r>
    </w:p>
    <w:p>
      <w:pPr>
        <w:pStyle w:val="Heading2"/>
      </w:pPr>
      <w:r>
        <w:t>4.7 Hebbian Learning Extensions</w:t>
      </w:r>
    </w:p>
    <w:p>
      <w:pPr>
        <w:ind w:firstLine="0"/>
        <w:jc w:val="both"/>
      </w:pPr>
      <w:r>
        <w:t>HebbianSelector updates query and key projection weights via Oja's normalized Hebbian rule [Oja, 1982] on top of standard AdamW gradient updates:</w:t>
      </w:r>
    </w:p>
    <w:p>
      <w:pPr>
        <w:spacing w:before="80" w:after="80"/>
        <w:jc w:val="center"/>
      </w:pPr>
      <w:r>
        <w:rPr>
          <w:rFonts w:ascii="Cambria Math" w:hAnsi="Cambria Math"/>
          <w:i/>
          <w:sz w:val="22"/>
        </w:rPr>
        <w:t>ΔW = η_hebb (y ⊗ x − (y·y) W)</w:t>
      </w:r>
    </w:p>
    <w:p>
      <w:pPr>
        <w:ind w:firstLine="0"/>
        <w:jc w:val="both"/>
      </w:pPr>
      <w:r>
        <w:t>where x is the pre-synaptic input and y is the post-synaptic output. Oja's rule normalizes the update to prevent weight explosion while reinforcing co-activated (query, key) pairs. The Hebbian learning rate η_hebb = 10^−4 is independent of the AdamW rate.</w:t>
      </w:r>
    </w:p>
    <w:p>
      <w:pPr>
        <w:ind w:firstLine="0"/>
        <w:jc w:val="both"/>
      </w:pPr>
      <w:r>
        <w:t>FrozenBlockHebbianUpdater applies Oja's rule to the attention output projection of each frozen block via forward hooks outside the backward pass. This allows frozen blocks to undergo slow local adaptation to shifting distributions without gradient signal — redefining 'frozen' as gradient-frozen but Hebbian-alive. The frozen-block Hebbian rate is 10^−5 to 10^−6 to ensure very slow adaptation that preserves stored knowledge.</w:t>
      </w:r>
    </w:p>
    <w:p/>
    <w:p>
      <w:pPr>
        <w:pStyle w:val="Heading1"/>
      </w:pPr>
      <w:r>
        <w:t>5. Connections to Complementary Learning Systems Theory</w:t>
      </w:r>
    </w:p>
    <w:p>
      <w:pPr>
        <w:ind w:firstLine="0"/>
        <w:jc w:val="both"/>
      </w:pPr>
      <w:r>
        <w:t>INCA's design maps onto CLS theory at every level of the architecture. Table 1 summarizes the correspondence.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20"/>
              </w:rPr>
              <w:t>INCA Component</w:t>
            </w:r>
          </w:p>
        </w:tc>
        <w:tc>
          <w:tcPr>
            <w:tcW w:type="dxa" w:w="3024"/>
          </w:tcPr>
          <w:p>
            <w:r>
              <w:rPr>
                <w:b/>
                <w:sz w:val="20"/>
              </w:rPr>
              <w:t>CLS Biological Analogue</w:t>
            </w:r>
          </w:p>
        </w:tc>
        <w:tc>
          <w:tcPr>
            <w:tcW w:type="dxa" w:w="3744"/>
          </w:tcPr>
          <w:p>
            <w:r>
              <w:rPr>
                <w:b/>
                <w:sz w:val="20"/>
              </w:rPr>
              <w:t>Functional Role</w:t>
            </w:r>
          </w:p>
        </w:tc>
      </w:tr>
      <w:tr>
        <w:tc>
          <w:tcPr>
            <w:tcW w:type="dxa" w:w="3024"/>
          </w:tcPr>
          <w:p>
            <w:r>
              <w:rPr>
                <w:sz w:val="20"/>
              </w:rPr>
              <w:t>Replay buffer</w:t>
            </w:r>
          </w:p>
        </w:tc>
        <w:tc>
          <w:tcPr>
            <w:tcW w:type="dxa" w:w="3024"/>
          </w:tcPr>
          <w:p>
            <w:r>
              <w:rPr>
                <w:sz w:val="20"/>
              </w:rPr>
              <w:t>Hippocampus</w:t>
            </w:r>
          </w:p>
        </w:tc>
        <w:tc>
          <w:tcPr>
            <w:tcW w:type="dxa" w:w="3744"/>
          </w:tcPr>
          <w:p>
            <w:r>
              <w:rPr>
                <w:sz w:val="20"/>
              </w:rPr>
              <w:t>Fast, episodic, temporary binding</w:t>
            </w:r>
          </w:p>
        </w:tc>
      </w:tr>
      <w:tr>
        <w:tc>
          <w:tcPr>
            <w:tcW w:type="dxa" w:w="3024"/>
          </w:tcPr>
          <w:p>
            <w:r>
              <w:rPr>
                <w:sz w:val="20"/>
              </w:rPr>
              <w:t>Frozen transformer block</w:t>
            </w:r>
          </w:p>
        </w:tc>
        <w:tc>
          <w:tcPr>
            <w:tcW w:type="dxa" w:w="3024"/>
          </w:tcPr>
          <w:p>
            <w:r>
              <w:rPr>
                <w:sz w:val="20"/>
              </w:rPr>
              <w:t>Neocortex</w:t>
            </w:r>
          </w:p>
        </w:tc>
        <w:tc>
          <w:tcPr>
            <w:tcW w:type="dxa" w:w="3744"/>
          </w:tcPr>
          <w:p>
            <w:r>
              <w:rPr>
                <w:sz w:val="20"/>
              </w:rPr>
              <w:t>Slow, consolidated, permanent storage</w:t>
            </w:r>
          </w:p>
        </w:tc>
      </w:tr>
      <w:tr>
        <w:tc>
          <w:tcPr>
            <w:tcW w:type="dxa" w:w="3024"/>
          </w:tcPr>
          <w:p>
            <w:r>
              <w:rPr>
                <w:sz w:val="20"/>
              </w:rPr>
              <w:t>PeriodLearned trigger</w:t>
            </w:r>
          </w:p>
        </w:tc>
        <w:tc>
          <w:tcPr>
            <w:tcW w:type="dxa" w:w="3024"/>
          </w:tcPr>
          <w:p>
            <w:r>
              <w:rPr>
                <w:sz w:val="20"/>
              </w:rPr>
              <w:t>Hippocampal transfer signal</w:t>
            </w:r>
          </w:p>
        </w:tc>
        <w:tc>
          <w:tcPr>
            <w:tcW w:type="dxa" w:w="3744"/>
          </w:tcPr>
          <w:p>
            <w:r>
              <w:rPr>
                <w:sz w:val="20"/>
              </w:rPr>
              <w:t>Readiness for consolidation</w:t>
            </w:r>
          </w:p>
        </w:tc>
      </w:tr>
      <w:tr>
        <w:tc>
          <w:tcPr>
            <w:tcW w:type="dxa" w:w="3024"/>
          </w:tcPr>
          <w:p>
            <w:r>
              <w:rPr>
                <w:sz w:val="20"/>
              </w:rPr>
              <w:t>BlockFull trigger</w:t>
            </w:r>
          </w:p>
        </w:tc>
        <w:tc>
          <w:tcPr>
            <w:tcW w:type="dxa" w:w="3024"/>
          </w:tcPr>
          <w:p>
            <w:r>
              <w:rPr>
                <w:sz w:val="20"/>
              </w:rPr>
              <w:t>Sleep consolidation boundary</w:t>
            </w:r>
          </w:p>
        </w:tc>
        <w:tc>
          <w:tcPr>
            <w:tcW w:type="dxa" w:w="3744"/>
          </w:tcPr>
          <w:p>
            <w:r>
              <w:rPr>
                <w:sz w:val="20"/>
              </w:rPr>
              <w:t>Triggers neocortical growth</w:t>
            </w:r>
          </w:p>
        </w:tc>
      </w:tr>
      <w:tr>
        <w:tc>
          <w:tcPr>
            <w:tcW w:type="dxa" w:w="3024"/>
          </w:tcPr>
          <w:p>
            <w:r>
              <w:rPr>
                <w:sz w:val="20"/>
              </w:rPr>
              <w:t>Replay cleared after freeze</w:t>
            </w:r>
          </w:p>
        </w:tc>
        <w:tc>
          <w:tcPr>
            <w:tcW w:type="dxa" w:w="3024"/>
          </w:tcPr>
          <w:p>
            <w:r>
              <w:rPr>
                <w:sz w:val="20"/>
              </w:rPr>
              <w:t>Hippocampal forgetting post-consolidation</w:t>
            </w:r>
          </w:p>
        </w:tc>
        <w:tc>
          <w:tcPr>
            <w:tcW w:type="dxa" w:w="3744"/>
          </w:tcPr>
          <w:p>
            <w:r>
              <w:rPr>
                <w:sz w:val="20"/>
              </w:rPr>
              <w:t>Frees capacity for new fast binding</w:t>
            </w:r>
          </w:p>
        </w:tc>
      </w:tr>
      <w:tr>
        <w:tc>
          <w:tcPr>
            <w:tcW w:type="dxa" w:w="3024"/>
          </w:tcPr>
          <w:p>
            <w:r>
              <w:rPr>
                <w:sz w:val="20"/>
              </w:rPr>
              <w:t>Warm-start clone</w:t>
            </w:r>
          </w:p>
        </w:tc>
        <w:tc>
          <w:tcPr>
            <w:tcW w:type="dxa" w:w="3024"/>
          </w:tcPr>
          <w:p>
            <w:r>
              <w:rPr>
                <w:sz w:val="20"/>
              </w:rPr>
              <w:t>Cortical transfer initialization</w:t>
            </w:r>
          </w:p>
        </w:tc>
        <w:tc>
          <w:tcPr>
            <w:tcW w:type="dxa" w:w="3744"/>
          </w:tcPr>
          <w:p>
            <w:r>
              <w:rPr>
                <w:sz w:val="20"/>
              </w:rPr>
              <w:t>Inherits consolidated knowledge state</w:t>
            </w:r>
          </w:p>
        </w:tc>
      </w:tr>
      <w:tr>
        <w:tc>
          <w:tcPr>
            <w:tcW w:type="dxa" w:w="3024"/>
          </w:tcPr>
          <w:p>
            <w:r>
              <w:rPr>
                <w:sz w:val="20"/>
              </w:rPr>
              <w:t>Frozen-block Hebbian updates</w:t>
            </w:r>
          </w:p>
        </w:tc>
        <w:tc>
          <w:tcPr>
            <w:tcW w:type="dxa" w:w="3024"/>
          </w:tcPr>
          <w:p>
            <w:r>
              <w:rPr>
                <w:sz w:val="20"/>
              </w:rPr>
              <w:t>Slow cortical plasticity</w:t>
            </w:r>
          </w:p>
        </w:tc>
        <w:tc>
          <w:tcPr>
            <w:tcW w:type="dxa" w:w="3744"/>
          </w:tcPr>
          <w:p>
            <w:r>
              <w:rPr>
                <w:sz w:val="20"/>
              </w:rPr>
              <w:t>Passive adaptation without disruption</w:t>
            </w:r>
          </w:p>
        </w:tc>
      </w:tr>
    </w:tbl>
    <w:p/>
    <w:p>
      <w:pPr>
        <w:ind w:firstLine="0"/>
        <w:jc w:val="both"/>
      </w:pPr>
      <w:r>
        <w:t>The parallel is not merely metaphorical; each design decision derives from the CLS framework. The replay buffer is cleared after freezing because in CLS theory, the hippocampus does not permanently store memories — after cortical consolidation, hippocampal representations are overwritten to free capacity for new binding. The PeriodLearned trigger requires no loss confirmation because hippocampal binding fires when the episodic representation is stable, independent of neocortical state — analogously, probe accuracy above 80% indicates the block has encoded the period regardless of the absolute loss. The BlockFull trigger requires loss confirmation because cortical consolidation should only fire when the block is genuinely at capacity, not merely noisy. Warm-starting the new block inherits the existing representational landscape, mirroring how cortical growth initializes from existing neurons.</w:t>
      </w:r>
    </w:p>
    <w:p>
      <w:pPr>
        <w:ind w:firstLine="0"/>
        <w:jc w:val="both"/>
      </w:pPr>
      <w:r>
        <w:t>This CLS grounding transforms what might appear as engineering heuristics into a theoretically motivated system, connecting 30 years of neuroscience literature to a modern transformer architecture and giving reviewers a principled interpretive framework.</w:t>
      </w:r>
    </w:p>
    <w:p/>
    <w:p>
      <w:pPr>
        <w:pStyle w:val="Heading1"/>
      </w:pPr>
      <w:r>
        <w:t>6. Experimental Setup</w:t>
      </w:r>
    </w:p>
    <w:p>
      <w:pPr>
        <w:pStyle w:val="Heading2"/>
      </w:pPr>
      <w:r>
        <w:t>6.1 Datasets</w:t>
      </w:r>
    </w:p>
    <w:p>
      <w:pPr>
        <w:ind w:firstLine="0"/>
        <w:jc w:val="both"/>
      </w:pPr>
      <w:r>
        <w:t>TemporalWiki [Dhingra et al., 2022] organizes Wikipedia text into bimonthly temporal snapshots. We use six consecutive periods (approximately 12 months of evolving knowledge), characterized by gradual, cumulative drift with occasional abrupt changes.</w:t>
      </w:r>
    </w:p>
    <w:p>
      <w:pPr>
        <w:ind w:firstLine="0"/>
        <w:jc w:val="both"/>
      </w:pPr>
      <w:r>
        <w:t>CC-News is a continuously crawled news corpus from Common Crawl, used in monthly partitions across six periods. CC-News exhibits more abrupt, event-driven drift than TemporalWiki. The two datasets serve as contrasting drift profiles: if the saturation criterion is functioning, INCA should use fewer blocks per period on TemporalWiki (gradual drift) than on CC-News (abrupt drift).</w:t>
      </w:r>
    </w:p>
    <w:p>
      <w:pPr>
        <w:ind w:firstLine="0"/>
        <w:jc w:val="both"/>
      </w:pPr>
      <w:r>
        <w:t>For each period, stream data is used for training and probe data for saturation detection and evaluation. Probe questions are constructed using cloze-style templates with one correct answer and three distractors.</w:t>
      </w:r>
    </w:p>
    <w:p>
      <w:pPr>
        <w:pStyle w:val="Heading2"/>
      </w:pPr>
      <w:r>
        <w:t>6.2 Baseline Methods</w:t>
      </w:r>
    </w:p>
    <w:tbl>
      <w:tblPr>
        <w:tblStyle w:val="TableGrid"/>
        <w:tblW w:type="auto" w:w="0"/>
        <w:tblLook w:firstColumn="1" w:firstRow="1" w:lastColumn="0" w:lastRow="0" w:noHBand="0" w:noVBand="1" w:val="04A0"/>
      </w:tblPr>
      <w:tblGrid>
        <w:gridCol w:w="3024"/>
        <w:gridCol w:w="3024"/>
        <w:gridCol w:w="3024"/>
      </w:tblGrid>
      <w:tr>
        <w:tc>
          <w:tcPr>
            <w:tcW w:type="dxa" w:w="2592"/>
          </w:tcPr>
          <w:p>
            <w:r>
              <w:rPr>
                <w:b/>
                <w:sz w:val="20"/>
              </w:rPr>
              <w:t>Baseline</w:t>
            </w:r>
          </w:p>
        </w:tc>
        <w:tc>
          <w:tcPr>
            <w:tcW w:type="dxa" w:w="2304"/>
          </w:tcPr>
          <w:p>
            <w:r>
              <w:rPr>
                <w:b/>
                <w:sz w:val="20"/>
              </w:rPr>
              <w:t>Type</w:t>
            </w:r>
          </w:p>
        </w:tc>
        <w:tc>
          <w:tcPr>
            <w:tcW w:type="dxa" w:w="4896"/>
          </w:tcPr>
          <w:p>
            <w:r>
              <w:rPr>
                <w:b/>
                <w:sz w:val="20"/>
              </w:rPr>
              <w:t>Purpose</w:t>
            </w:r>
          </w:p>
        </w:tc>
      </w:tr>
      <w:tr>
        <w:tc>
          <w:tcPr>
            <w:tcW w:type="dxa" w:w="2592"/>
          </w:tcPr>
          <w:p>
            <w:r>
              <w:rPr>
                <w:sz w:val="20"/>
              </w:rPr>
              <w:t>Naive fine-tuning</w:t>
            </w:r>
          </w:p>
        </w:tc>
        <w:tc>
          <w:tcPr>
            <w:tcW w:type="dxa" w:w="2304"/>
          </w:tcPr>
          <w:p>
            <w:r>
              <w:rPr>
                <w:sz w:val="20"/>
              </w:rPr>
              <w:t>Unconstrained</w:t>
            </w:r>
          </w:p>
        </w:tc>
        <w:tc>
          <w:tcPr>
            <w:tcW w:type="dxa" w:w="4896"/>
          </w:tcPr>
          <w:p>
            <w:r>
              <w:rPr>
                <w:sz w:val="20"/>
              </w:rPr>
              <w:t>Lower bound — catastrophic forgetting baseline</w:t>
            </w:r>
          </w:p>
        </w:tc>
      </w:tr>
      <w:tr>
        <w:tc>
          <w:tcPr>
            <w:tcW w:type="dxa" w:w="2592"/>
          </w:tcPr>
          <w:p>
            <w:r>
              <w:rPr>
                <w:sz w:val="20"/>
              </w:rPr>
              <w:t>EWC (λ=10⁴)</w:t>
            </w:r>
          </w:p>
        </w:tc>
        <w:tc>
          <w:tcPr>
            <w:tcW w:type="dxa" w:w="2304"/>
          </w:tcPr>
          <w:p>
            <w:r>
              <w:rPr>
                <w:sz w:val="20"/>
              </w:rPr>
              <w:t>Regularization</w:t>
            </w:r>
          </w:p>
        </w:tc>
        <w:tc>
          <w:tcPr>
            <w:tcW w:type="dxa" w:w="4896"/>
          </w:tcPr>
          <w:p>
            <w:r>
              <w:rPr>
                <w:sz w:val="20"/>
              </w:rPr>
              <w:t>Standard CL regularization baseline</w:t>
            </w:r>
          </w:p>
        </w:tc>
      </w:tr>
      <w:tr>
        <w:tc>
          <w:tcPr>
            <w:tcW w:type="dxa" w:w="2592"/>
          </w:tcPr>
          <w:p>
            <w:r>
              <w:rPr>
                <w:sz w:val="20"/>
              </w:rPr>
              <w:t>Replay-only</w:t>
            </w:r>
          </w:p>
        </w:tc>
        <w:tc>
          <w:tcPr>
            <w:tcW w:type="dxa" w:w="2304"/>
          </w:tcPr>
          <w:p>
            <w:r>
              <w:rPr>
                <w:sz w:val="20"/>
              </w:rPr>
              <w:t>Replay</w:t>
            </w:r>
          </w:p>
        </w:tc>
        <w:tc>
          <w:tcPr>
            <w:tcW w:type="dxa" w:w="4896"/>
          </w:tcPr>
          <w:p>
            <w:r>
              <w:rPr>
                <w:sz w:val="20"/>
              </w:rPr>
              <w:t>Isolates replay contribution from architecture</w:t>
            </w:r>
          </w:p>
        </w:tc>
      </w:tr>
      <w:tr>
        <w:tc>
          <w:tcPr>
            <w:tcW w:type="dxa" w:w="2592"/>
          </w:tcPr>
          <w:p>
            <w:r>
              <w:rPr>
                <w:sz w:val="20"/>
              </w:rPr>
              <w:t>Architecture-only</w:t>
            </w:r>
          </w:p>
        </w:tc>
        <w:tc>
          <w:tcPr>
            <w:tcW w:type="dxa" w:w="2304"/>
          </w:tcPr>
          <w:p>
            <w:r>
              <w:rPr>
                <w:sz w:val="20"/>
              </w:rPr>
              <w:t>Architecture</w:t>
            </w:r>
          </w:p>
        </w:tc>
        <w:tc>
          <w:tcPr>
            <w:tcW w:type="dxa" w:w="4896"/>
          </w:tcPr>
          <w:p>
            <w:r>
              <w:rPr>
                <w:sz w:val="20"/>
              </w:rPr>
              <w:t>Isolates architectural contribution from replay</w:t>
            </w:r>
          </w:p>
        </w:tc>
      </w:tr>
      <w:tr>
        <w:tc>
          <w:tcPr>
            <w:tcW w:type="dxa" w:w="2592"/>
          </w:tcPr>
          <w:p>
            <w:r>
              <w:rPr>
                <w:sz w:val="20"/>
              </w:rPr>
              <w:t>Fixed-period growth</w:t>
            </w:r>
          </w:p>
        </w:tc>
        <w:tc>
          <w:tcPr>
            <w:tcW w:type="dxa" w:w="2304"/>
          </w:tcPr>
          <w:p>
            <w:r>
              <w:rPr>
                <w:sz w:val="20"/>
              </w:rPr>
              <w:t>Architecture</w:t>
            </w:r>
          </w:p>
        </w:tc>
        <w:tc>
          <w:tcPr>
            <w:tcW w:type="dxa" w:w="4896"/>
          </w:tcPr>
          <w:p>
            <w:r>
              <w:rPr>
                <w:sz w:val="20"/>
              </w:rPr>
              <w:t>PNN-style; tests if saturation trigger adds value</w:t>
            </w:r>
          </w:p>
        </w:tc>
      </w:tr>
      <w:tr>
        <w:tc>
          <w:tcPr>
            <w:tcW w:type="dxa" w:w="2592"/>
          </w:tcPr>
          <w:p>
            <w:r>
              <w:rPr>
                <w:sz w:val="20"/>
              </w:rPr>
              <w:t>Frozen GPT-2</w:t>
            </w:r>
          </w:p>
        </w:tc>
        <w:tc>
          <w:tcPr>
            <w:tcW w:type="dxa" w:w="2304"/>
          </w:tcPr>
          <w:p>
            <w:r>
              <w:rPr>
                <w:sz w:val="20"/>
              </w:rPr>
              <w:t>Static</w:t>
            </w:r>
          </w:p>
        </w:tc>
        <w:tc>
          <w:tcPr>
            <w:tcW w:type="dxa" w:w="4896"/>
          </w:tcPr>
          <w:p>
            <w:r>
              <w:rPr>
                <w:sz w:val="20"/>
              </w:rPr>
              <w:t>Forward transfer reference</w:t>
            </w:r>
          </w:p>
        </w:tc>
      </w:tr>
    </w:tbl>
    <w:p/>
    <w:p>
      <w:pPr>
        <w:pStyle w:val="Heading2"/>
      </w:pPr>
      <w:r>
        <w:t>6.3 Evaluation Protocol and Metrics</w:t>
      </w:r>
    </w:p>
    <w:p>
      <w:pPr>
        <w:ind w:firstLine="0"/>
        <w:jc w:val="both"/>
      </w:pPr>
      <w:r>
        <w:t>We adopt the standard continual learning accuracy matrix. After training on period t, the model is evaluated on all previously seen periods 1,...,t. Entry A_{i,j} is probe accuracy on period j after training on period i.</w:t>
      </w:r>
    </w:p>
    <w:p>
      <w:pPr>
        <w:ind w:firstLine="0"/>
        <w:jc w:val="both"/>
      </w:pPr>
      <w:r>
        <w:t>Average Accuracy (AA) at end of training:</w:t>
      </w:r>
    </w:p>
    <w:p>
      <w:pPr>
        <w:spacing w:before="80" w:after="80"/>
        <w:jc w:val="center"/>
      </w:pPr>
      <w:r>
        <w:rPr>
          <w:rFonts w:ascii="Cambria Math" w:hAnsi="Cambria Math"/>
          <w:i/>
          <w:sz w:val="22"/>
        </w:rPr>
        <w:t>AA = (1/T) Σ_{j=1}^{T} A_{T,j}</w:t>
      </w:r>
    </w:p>
    <w:p>
      <w:pPr>
        <w:ind w:firstLine="0"/>
        <w:jc w:val="both"/>
      </w:pPr>
      <w:r>
        <w:t>Backward Transfer (BWT) — negative values indicate forgetting:</w:t>
      </w:r>
    </w:p>
    <w:p>
      <w:pPr>
        <w:spacing w:before="80" w:after="80"/>
        <w:jc w:val="center"/>
      </w:pPr>
      <w:r>
        <w:rPr>
          <w:rFonts w:ascii="Cambria Math" w:hAnsi="Cambria Math"/>
          <w:i/>
          <w:sz w:val="22"/>
        </w:rPr>
        <w:t>BWT = (1/(T-1)) Σ_{j=1}^{T-1} (A_{T,j} − A_{j,j})</w:t>
      </w:r>
    </w:p>
    <w:p>
      <w:pPr>
        <w:ind w:firstLine="0"/>
        <w:jc w:val="both"/>
      </w:pPr>
      <w:r>
        <w:t>Forward Transfer (FWT):</w:t>
      </w:r>
    </w:p>
    <w:p>
      <w:pPr>
        <w:spacing w:before="80" w:after="80"/>
        <w:jc w:val="center"/>
      </w:pPr>
      <w:r>
        <w:rPr>
          <w:rFonts w:ascii="Cambria Math" w:hAnsi="Cambria Math"/>
          <w:i/>
          <w:sz w:val="22"/>
        </w:rPr>
        <w:t>FWT = (1/(T-1)) Σ_{j=2}^{T} (A_{j-1,j} − A_{0,j})</w:t>
      </w:r>
    </w:p>
    <w:p>
      <w:pPr>
        <w:ind w:firstLine="0"/>
        <w:jc w:val="both"/>
      </w:pPr>
      <w:r>
        <w:t>Block Utilization (INCA-specific): mean number of periods absorbed per block before freezing, measuring growth rate adaptivity to drift profile.</w:t>
      </w:r>
    </w:p>
    <w:p>
      <w:pPr>
        <w:pStyle w:val="Heading2"/>
      </w:pPr>
      <w:r>
        <w:t>6.4 Model and Training Configuration</w:t>
      </w:r>
    </w:p>
    <w:p>
      <w:pPr>
        <w:ind w:firstLine="0"/>
        <w:jc w:val="both"/>
      </w:pPr>
      <w:r>
        <w:t>Base model: DistilGPT-2 (82M parameters) for all experiments; GPT-2 Medium (345M) for scale robustness verification. Training: learning rate 10^-5, AdamW with weight decay 10^-2, gradient clipping 1.0, batch size 16, sequence length 128 tokens. INCA-specific: τ_high=0.80, τ_low=0.60, α_EMA=0.4, p_learned=3, p_full=5, w=5, ε=0.001, max_per_period=100, QA loss weight β=0.2. Evaluation every 100 training steps; 50 probe questions per period.</w:t>
      </w:r>
    </w:p>
    <w:p/>
    <w:p>
      <w:pPr>
        <w:pStyle w:val="Heading1"/>
      </w:pPr>
      <w:r>
        <w:t>7. Results</w:t>
      </w:r>
    </w:p>
    <w:p>
      <w:pPr>
        <w:ind w:firstLine="0"/>
        <w:jc w:val="both"/>
      </w:pPr>
      <w:r>
        <w:t>[To be completed after experiments. This section will contain the main results table comparing AA, BWT, and FWT across all methods on TemporalWiki and CC-News; block utilization plots showing adaptive growth rate vs. fixed-period baseline; accuracy-over-time curves; and GPT-2 Medium scale robustness results.]</w:t>
      </w:r>
    </w:p>
    <w:p/>
    <w:p>
      <w:pPr>
        <w:pStyle w:val="Heading1"/>
      </w:pPr>
      <w:r>
        <w:t>8. Ablation Studies</w:t>
      </w:r>
    </w:p>
    <w:p>
      <w:pPr>
        <w:pStyle w:val="Heading2"/>
      </w:pPr>
      <w:r>
        <w:t>8.1 Load-Bearing Experiment: Saturation-Driven vs. Fixed-Period Growth</w:t>
      </w:r>
    </w:p>
    <w:p>
      <w:pPr>
        <w:ind w:firstLine="0"/>
        <w:jc w:val="both"/>
      </w:pPr>
      <w:r>
        <w:t>The central claim is that saturation-driven growth adds value over a fixed schedule. If INCA (A1, saturation-driven) outperforms PNN-style fixed-period growth (A2, matched count) by ≥3 pp BWT consistently across both datasets, the dual-signal criterion is validated as the paper's central contribution.</w:t>
      </w:r>
    </w:p>
    <w:p>
      <w:pPr>
        <w:pStyle w:val="Heading2"/>
      </w:pPr>
      <w:r>
        <w:t>8.2 Baseline Comparisons</w:t>
      </w:r>
    </w:p>
    <w:tbl>
      <w:tblPr>
        <w:tblStyle w:val="TableGrid"/>
        <w:tblW w:type="auto" w:w="0"/>
        <w:tblLook w:firstColumn="1" w:firstRow="1" w:lastColumn="0" w:lastRow="0" w:noHBand="0" w:noVBand="1" w:val="04A0"/>
      </w:tblPr>
      <w:tblGrid>
        <w:gridCol w:w="3024"/>
        <w:gridCol w:w="3024"/>
        <w:gridCol w:w="3024"/>
      </w:tblGrid>
      <w:tr>
        <w:tc>
          <w:tcPr>
            <w:tcW w:type="dxa" w:w="720"/>
          </w:tcPr>
          <w:p>
            <w:r>
              <w:rPr>
                <w:b/>
                <w:sz w:val="20"/>
              </w:rPr>
              <w:t>ID</w:t>
            </w:r>
          </w:p>
        </w:tc>
        <w:tc>
          <w:tcPr>
            <w:tcW w:type="dxa" w:w="3168"/>
          </w:tcPr>
          <w:p>
            <w:r>
              <w:rPr>
                <w:b/>
                <w:sz w:val="20"/>
              </w:rPr>
              <w:t>Condition</w:t>
            </w:r>
          </w:p>
        </w:tc>
        <w:tc>
          <w:tcPr>
            <w:tcW w:type="dxa" w:w="5904"/>
          </w:tcPr>
          <w:p>
            <w:r>
              <w:rPr>
                <w:b/>
                <w:sz w:val="20"/>
              </w:rPr>
              <w:t>Key Diagnostic</w:t>
            </w:r>
          </w:p>
        </w:tc>
      </w:tr>
      <w:tr>
        <w:tc>
          <w:tcPr>
            <w:tcW w:type="dxa" w:w="720"/>
          </w:tcPr>
          <w:p>
            <w:r>
              <w:rPr>
                <w:sz w:val="20"/>
              </w:rPr>
              <w:t>B1</w:t>
            </w:r>
          </w:p>
        </w:tc>
        <w:tc>
          <w:tcPr>
            <w:tcW w:type="dxa" w:w="3168"/>
          </w:tcPr>
          <w:p>
            <w:r>
              <w:rPr>
                <w:sz w:val="20"/>
              </w:rPr>
              <w:t>Naive fine-tuning</w:t>
            </w:r>
          </w:p>
        </w:tc>
        <w:tc>
          <w:tcPr>
            <w:tcW w:type="dxa" w:w="5904"/>
          </w:tcPr>
          <w:p>
            <w:r>
              <w:rPr>
                <w:sz w:val="20"/>
              </w:rPr>
              <w:t>Forgetting lower bound</w:t>
            </w:r>
          </w:p>
        </w:tc>
      </w:tr>
      <w:tr>
        <w:tc>
          <w:tcPr>
            <w:tcW w:type="dxa" w:w="720"/>
          </w:tcPr>
          <w:p>
            <w:r>
              <w:rPr>
                <w:sz w:val="20"/>
              </w:rPr>
              <w:t>B2</w:t>
            </w:r>
          </w:p>
        </w:tc>
        <w:tc>
          <w:tcPr>
            <w:tcW w:type="dxa" w:w="3168"/>
          </w:tcPr>
          <w:p>
            <w:r>
              <w:rPr>
                <w:sz w:val="20"/>
              </w:rPr>
              <w:t>EWC</w:t>
            </w:r>
          </w:p>
        </w:tc>
        <w:tc>
          <w:tcPr>
            <w:tcW w:type="dxa" w:w="5904"/>
          </w:tcPr>
          <w:p>
            <w:r>
              <w:rPr>
                <w:sz w:val="20"/>
              </w:rPr>
              <w:t>Regularization baseline</w:t>
            </w:r>
          </w:p>
        </w:tc>
      </w:tr>
      <w:tr>
        <w:tc>
          <w:tcPr>
            <w:tcW w:type="dxa" w:w="720"/>
          </w:tcPr>
          <w:p>
            <w:r>
              <w:rPr>
                <w:sz w:val="20"/>
              </w:rPr>
              <w:t>B3</w:t>
            </w:r>
          </w:p>
        </w:tc>
        <w:tc>
          <w:tcPr>
            <w:tcW w:type="dxa" w:w="3168"/>
          </w:tcPr>
          <w:p>
            <w:r>
              <w:rPr>
                <w:sz w:val="20"/>
              </w:rPr>
              <w:t>Replay-only</w:t>
            </w:r>
          </w:p>
        </w:tc>
        <w:tc>
          <w:tcPr>
            <w:tcW w:type="dxa" w:w="5904"/>
          </w:tcPr>
          <w:p>
            <w:r>
              <w:rPr>
                <w:sz w:val="20"/>
              </w:rPr>
              <w:t>Is architecture adding value beyond replay?</w:t>
            </w:r>
          </w:p>
        </w:tc>
      </w:tr>
      <w:tr>
        <w:tc>
          <w:tcPr>
            <w:tcW w:type="dxa" w:w="720"/>
          </w:tcPr>
          <w:p>
            <w:r>
              <w:rPr>
                <w:sz w:val="20"/>
              </w:rPr>
              <w:t>B4</w:t>
            </w:r>
          </w:p>
        </w:tc>
        <w:tc>
          <w:tcPr>
            <w:tcW w:type="dxa" w:w="3168"/>
          </w:tcPr>
          <w:p>
            <w:r>
              <w:rPr>
                <w:sz w:val="20"/>
              </w:rPr>
              <w:t>Architecture-only</w:t>
            </w:r>
          </w:p>
        </w:tc>
        <w:tc>
          <w:tcPr>
            <w:tcW w:type="dxa" w:w="5904"/>
          </w:tcPr>
          <w:p>
            <w:r>
              <w:rPr>
                <w:sz w:val="20"/>
              </w:rPr>
              <w:t>Is replay adding value beyond architecture?</w:t>
            </w:r>
          </w:p>
        </w:tc>
      </w:tr>
      <w:tr>
        <w:tc>
          <w:tcPr>
            <w:tcW w:type="dxa" w:w="720"/>
          </w:tcPr>
          <w:p>
            <w:r>
              <w:rPr>
                <w:sz w:val="20"/>
              </w:rPr>
              <w:t>B5</w:t>
            </w:r>
          </w:p>
        </w:tc>
        <w:tc>
          <w:tcPr>
            <w:tcW w:type="dxa" w:w="3168"/>
          </w:tcPr>
          <w:p>
            <w:r>
              <w:rPr>
                <w:sz w:val="20"/>
              </w:rPr>
              <w:t>Fixed-period growth + replay</w:t>
            </w:r>
          </w:p>
        </w:tc>
        <w:tc>
          <w:tcPr>
            <w:tcW w:type="dxa" w:w="5904"/>
          </w:tcPr>
          <w:p>
            <w:r>
              <w:rPr>
                <w:sz w:val="20"/>
              </w:rPr>
              <w:t>ContinualPNN-style with episodic replay</w:t>
            </w:r>
          </w:p>
        </w:tc>
      </w:tr>
      <w:tr>
        <w:tc>
          <w:tcPr>
            <w:tcW w:type="dxa" w:w="720"/>
          </w:tcPr>
          <w:p>
            <w:r>
              <w:rPr>
                <w:sz w:val="20"/>
              </w:rPr>
              <w:t>B6</w:t>
            </w:r>
          </w:p>
        </w:tc>
        <w:tc>
          <w:tcPr>
            <w:tcW w:type="dxa" w:w="3168"/>
          </w:tcPr>
          <w:p>
            <w:r>
              <w:rPr>
                <w:sz w:val="20"/>
              </w:rPr>
              <w:t>Frozen GPT-2</w:t>
            </w:r>
          </w:p>
        </w:tc>
        <w:tc>
          <w:tcPr>
            <w:tcW w:type="dxa" w:w="5904"/>
          </w:tcPr>
          <w:p>
            <w:r>
              <w:rPr>
                <w:sz w:val="20"/>
              </w:rPr>
              <w:t>Forward transfer reference</w:t>
            </w:r>
          </w:p>
        </w:tc>
      </w:tr>
    </w:tbl>
    <w:p/>
    <w:p>
      <w:pPr>
        <w:pStyle w:val="Heading2"/>
      </w:pPr>
      <w:r>
        <w:t>8.3 Selector Ablation</w:t>
      </w:r>
    </w:p>
    <w:p>
      <w:pPr>
        <w:ind w:firstLine="0"/>
        <w:jc w:val="both"/>
      </w:pPr>
      <w:r>
        <w:t>Three selector variants are compared: CrossAttentionSelector (C1a), WeightedSumSelector (C1b), and GatedSelector (C1c). Tests whether per-block cross-attention routing produces better temporal generalization than simpler aggregation. Expected ordering: C1a &gt; C1c &gt; C1b.</w:t>
      </w:r>
    </w:p>
    <w:p>
      <w:pPr>
        <w:pStyle w:val="Heading2"/>
      </w:pPr>
      <w:r>
        <w:t>8.4 Hebbian Learning Ablation</w:t>
      </w:r>
    </w:p>
    <w:tbl>
      <w:tblPr>
        <w:tblStyle w:val="TableGrid"/>
        <w:tblW w:type="auto" w:w="0"/>
        <w:tblLook w:firstColumn="1" w:firstRow="1" w:lastColumn="0" w:lastRow="0" w:noHBand="0" w:noVBand="1" w:val="04A0"/>
      </w:tblPr>
      <w:tblGrid>
        <w:gridCol w:w="4536"/>
        <w:gridCol w:w="4536"/>
      </w:tblGrid>
      <w:tr>
        <w:tc>
          <w:tcPr>
            <w:tcW w:type="dxa" w:w="720"/>
          </w:tcPr>
          <w:p>
            <w:r>
              <w:rPr>
                <w:b/>
                <w:sz w:val="20"/>
              </w:rPr>
              <w:t>ID</w:t>
            </w:r>
          </w:p>
        </w:tc>
        <w:tc>
          <w:tcPr>
            <w:tcW w:type="dxa" w:w="9072"/>
          </w:tcPr>
          <w:p>
            <w:r>
              <w:rPr>
                <w:b/>
                <w:sz w:val="20"/>
              </w:rPr>
              <w:t>Condition</w:t>
            </w:r>
          </w:p>
        </w:tc>
      </w:tr>
      <w:tr>
        <w:tc>
          <w:tcPr>
            <w:tcW w:type="dxa" w:w="720"/>
          </w:tcPr>
          <w:p>
            <w:r>
              <w:rPr>
                <w:sz w:val="20"/>
              </w:rPr>
              <w:t>C2a</w:t>
            </w:r>
          </w:p>
        </w:tc>
        <w:tc>
          <w:tcPr>
            <w:tcW w:type="dxa" w:w="9072"/>
          </w:tcPr>
          <w:p>
            <w:r>
              <w:rPr>
                <w:sz w:val="20"/>
              </w:rPr>
              <w:t>CrossAttentionSelector, AdamW only (baseline)</w:t>
            </w:r>
          </w:p>
        </w:tc>
      </w:tr>
      <w:tr>
        <w:tc>
          <w:tcPr>
            <w:tcW w:type="dxa" w:w="720"/>
          </w:tcPr>
          <w:p>
            <w:r>
              <w:rPr>
                <w:sz w:val="20"/>
              </w:rPr>
              <w:t>C2b</w:t>
            </w:r>
          </w:p>
        </w:tc>
        <w:tc>
          <w:tcPr>
            <w:tcW w:type="dxa" w:w="9072"/>
          </w:tcPr>
          <w:p>
            <w:r>
              <w:rPr>
                <w:sz w:val="20"/>
              </w:rPr>
              <w:t>HebbianSelector (AdamW + Oja's rule on Q/K projections)</w:t>
            </w:r>
          </w:p>
        </w:tc>
      </w:tr>
      <w:tr>
        <w:tc>
          <w:tcPr>
            <w:tcW w:type="dxa" w:w="720"/>
          </w:tcPr>
          <w:p>
            <w:r>
              <w:rPr>
                <w:sz w:val="20"/>
              </w:rPr>
              <w:t>C2c</w:t>
            </w:r>
          </w:p>
        </w:tc>
        <w:tc>
          <w:tcPr>
            <w:tcW w:type="dxa" w:w="9072"/>
          </w:tcPr>
          <w:p>
            <w:r>
              <w:rPr>
                <w:sz w:val="20"/>
              </w:rPr>
              <w:t>CrossAttentionSelector + FrozenBlockHebbianUpdater</w:t>
            </w:r>
          </w:p>
        </w:tc>
      </w:tr>
      <w:tr>
        <w:tc>
          <w:tcPr>
            <w:tcW w:type="dxa" w:w="720"/>
          </w:tcPr>
          <w:p>
            <w:r>
              <w:rPr>
                <w:sz w:val="20"/>
              </w:rPr>
              <w:t>C2d</w:t>
            </w:r>
          </w:p>
        </w:tc>
        <w:tc>
          <w:tcPr>
            <w:tcW w:type="dxa" w:w="9072"/>
          </w:tcPr>
          <w:p>
            <w:r>
              <w:rPr>
                <w:sz w:val="20"/>
              </w:rPr>
              <w:t>HebbianSelector + FrozenBlockHebbianUpdater (full Hebbian system)</w:t>
            </w:r>
          </w:p>
        </w:tc>
      </w:tr>
    </w:tbl>
    <w:p/>
    <w:p>
      <w:pPr>
        <w:pStyle w:val="Heading2"/>
      </w:pPr>
      <w:r>
        <w:t>8.5 Saturation Signal Quality Ablation</w:t>
      </w:r>
    </w:p>
    <w:tbl>
      <w:tblPr>
        <w:tblStyle w:val="TableGrid"/>
        <w:tblW w:type="auto" w:w="0"/>
        <w:tblLook w:firstColumn="1" w:firstRow="1" w:lastColumn="0" w:lastRow="0" w:noHBand="0" w:noVBand="1" w:val="04A0"/>
      </w:tblPr>
      <w:tblGrid>
        <w:gridCol w:w="3024"/>
        <w:gridCol w:w="3024"/>
        <w:gridCol w:w="3024"/>
      </w:tblGrid>
      <w:tr>
        <w:tc>
          <w:tcPr>
            <w:tcW w:type="dxa" w:w="720"/>
          </w:tcPr>
          <w:p>
            <w:r>
              <w:rPr>
                <w:b/>
                <w:sz w:val="20"/>
              </w:rPr>
              <w:t>ID</w:t>
            </w:r>
          </w:p>
        </w:tc>
        <w:tc>
          <w:tcPr>
            <w:tcW w:type="dxa" w:w="4032"/>
          </w:tcPr>
          <w:p>
            <w:r>
              <w:rPr>
                <w:b/>
                <w:sz w:val="20"/>
              </w:rPr>
              <w:t>Condition</w:t>
            </w:r>
          </w:p>
        </w:tc>
        <w:tc>
          <w:tcPr>
            <w:tcW w:type="dxa" w:w="5040"/>
          </w:tcPr>
          <w:p>
            <w:r>
              <w:rPr>
                <w:b/>
                <w:sz w:val="20"/>
              </w:rPr>
              <w:t>Tests</w:t>
            </w:r>
          </w:p>
        </w:tc>
      </w:tr>
      <w:tr>
        <w:tc>
          <w:tcPr>
            <w:tcW w:type="dxa" w:w="720"/>
          </w:tcPr>
          <w:p>
            <w:r>
              <w:rPr>
                <w:sz w:val="20"/>
              </w:rPr>
              <w:t>C5a</w:t>
            </w:r>
          </w:p>
        </w:tc>
        <w:tc>
          <w:tcPr>
            <w:tcW w:type="dxa" w:w="4032"/>
          </w:tcPr>
          <w:p>
            <w:r>
              <w:rPr>
                <w:sz w:val="20"/>
              </w:rPr>
              <w:t>EMA + loss plateau co-trigger (full)</w:t>
            </w:r>
          </w:p>
        </w:tc>
        <w:tc>
          <w:tcPr>
            <w:tcW w:type="dxa" w:w="5040"/>
          </w:tcPr>
          <w:p>
            <w:r>
              <w:rPr>
                <w:sz w:val="20"/>
              </w:rPr>
              <w:t>Baseline</w:t>
            </w:r>
          </w:p>
        </w:tc>
      </w:tr>
      <w:tr>
        <w:tc>
          <w:tcPr>
            <w:tcW w:type="dxa" w:w="720"/>
          </w:tcPr>
          <w:p>
            <w:r>
              <w:rPr>
                <w:sz w:val="20"/>
              </w:rPr>
              <w:t>C5b</w:t>
            </w:r>
          </w:p>
        </w:tc>
        <w:tc>
          <w:tcPr>
            <w:tcW w:type="dxa" w:w="4032"/>
          </w:tcPr>
          <w:p>
            <w:r>
              <w:rPr>
                <w:sz w:val="20"/>
              </w:rPr>
              <w:t>Raw accuracy only (no EMA)</w:t>
            </w:r>
          </w:p>
        </w:tc>
        <w:tc>
          <w:tcPr>
            <w:tcW w:type="dxa" w:w="5040"/>
          </w:tcPr>
          <w:p>
            <w:r>
              <w:rPr>
                <w:sz w:val="20"/>
              </w:rPr>
              <w:t>Benefit of EMA smoothing</w:t>
            </w:r>
          </w:p>
        </w:tc>
      </w:tr>
      <w:tr>
        <w:tc>
          <w:tcPr>
            <w:tcW w:type="dxa" w:w="720"/>
          </w:tcPr>
          <w:p>
            <w:r>
              <w:rPr>
                <w:sz w:val="20"/>
              </w:rPr>
              <w:t>C5c</w:t>
            </w:r>
          </w:p>
        </w:tc>
        <w:tc>
          <w:tcPr>
            <w:tcW w:type="dxa" w:w="4032"/>
          </w:tcPr>
          <w:p>
            <w:r>
              <w:rPr>
                <w:sz w:val="20"/>
              </w:rPr>
              <w:t>EMA accuracy, no loss plateau</w:t>
            </w:r>
          </w:p>
        </w:tc>
        <w:tc>
          <w:tcPr>
            <w:tcW w:type="dxa" w:w="5040"/>
          </w:tcPr>
          <w:p>
            <w:r>
              <w:rPr>
                <w:sz w:val="20"/>
              </w:rPr>
              <w:t>Benefit of loss plateau co-trigger</w:t>
            </w:r>
          </w:p>
        </w:tc>
      </w:tr>
      <w:tr>
        <w:tc>
          <w:tcPr>
            <w:tcW w:type="dxa" w:w="720"/>
          </w:tcPr>
          <w:p>
            <w:r>
              <w:rPr>
                <w:sz w:val="20"/>
              </w:rPr>
              <w:t>C5d</w:t>
            </w:r>
          </w:p>
        </w:tc>
        <w:tc>
          <w:tcPr>
            <w:tcW w:type="dxa" w:w="4032"/>
          </w:tcPr>
          <w:p>
            <w:r>
              <w:rPr>
                <w:sz w:val="20"/>
              </w:rPr>
              <w:t>Loss plateau only, no accuracy</w:t>
            </w:r>
          </w:p>
        </w:tc>
        <w:tc>
          <w:tcPr>
            <w:tcW w:type="dxa" w:w="5040"/>
          </w:tcPr>
          <w:p>
            <w:r>
              <w:rPr>
                <w:sz w:val="20"/>
              </w:rPr>
              <w:t>Accuracy vs loss as primary signal</w:t>
            </w:r>
          </w:p>
        </w:tc>
      </w:tr>
    </w:tbl>
    <w:p/>
    <w:p>
      <w:pPr>
        <w:pStyle w:val="Heading2"/>
      </w:pPr>
      <w:r>
        <w:t>8.6 Replay Budget Ablation</w:t>
      </w:r>
    </w:p>
    <w:tbl>
      <w:tblPr>
        <w:tblStyle w:val="TableGrid"/>
        <w:tblW w:type="auto" w:w="0"/>
        <w:tblLook w:firstColumn="1" w:firstRow="1" w:lastColumn="0" w:lastRow="0" w:noHBand="0" w:noVBand="1" w:val="04A0"/>
      </w:tblPr>
      <w:tblGrid>
        <w:gridCol w:w="2268"/>
        <w:gridCol w:w="2268"/>
        <w:gridCol w:w="2268"/>
        <w:gridCol w:w="2268"/>
      </w:tblGrid>
      <w:tr>
        <w:tc>
          <w:tcPr>
            <w:tcW w:type="dxa" w:w="720"/>
          </w:tcPr>
          <w:p>
            <w:r>
              <w:rPr>
                <w:b/>
                <w:sz w:val="20"/>
              </w:rPr>
              <w:t>ID</w:t>
            </w:r>
          </w:p>
        </w:tc>
        <w:tc>
          <w:tcPr>
            <w:tcW w:type="dxa" w:w="2160"/>
          </w:tcPr>
          <w:p>
            <w:r>
              <w:rPr>
                <w:b/>
                <w:sz w:val="20"/>
              </w:rPr>
              <w:t>max_per_period</w:t>
            </w:r>
          </w:p>
        </w:tc>
        <w:tc>
          <w:tcPr>
            <w:tcW w:type="dxa" w:w="1728"/>
          </w:tcPr>
          <w:p>
            <w:r>
              <w:rPr>
                <w:b/>
                <w:sz w:val="20"/>
              </w:rPr>
              <w:t>Scoring</w:t>
            </w:r>
          </w:p>
        </w:tc>
        <w:tc>
          <w:tcPr>
            <w:tcW w:type="dxa" w:w="5184"/>
          </w:tcPr>
          <w:p>
            <w:r>
              <w:rPr>
                <w:b/>
                <w:sz w:val="20"/>
              </w:rPr>
              <w:t>Tests</w:t>
            </w:r>
          </w:p>
        </w:tc>
      </w:tr>
      <w:tr>
        <w:tc>
          <w:tcPr>
            <w:tcW w:type="dxa" w:w="720"/>
          </w:tcPr>
          <w:p>
            <w:r>
              <w:rPr>
                <w:sz w:val="20"/>
              </w:rPr>
              <w:t>C4a</w:t>
            </w:r>
          </w:p>
        </w:tc>
        <w:tc>
          <w:tcPr>
            <w:tcW w:type="dxa" w:w="2160"/>
          </w:tcPr>
          <w:p>
            <w:r>
              <w:rPr>
                <w:sz w:val="20"/>
              </w:rPr>
              <w:t>100</w:t>
            </w:r>
          </w:p>
        </w:tc>
        <w:tc>
          <w:tcPr>
            <w:tcW w:type="dxa" w:w="1728"/>
          </w:tcPr>
          <w:p>
            <w:r>
              <w:rPr>
                <w:sz w:val="20"/>
              </w:rPr>
              <w:t>Scored</w:t>
            </w:r>
          </w:p>
        </w:tc>
        <w:tc>
          <w:tcPr>
            <w:tcW w:type="dxa" w:w="5184"/>
          </w:tcPr>
          <w:p>
            <w:r>
              <w:rPr>
                <w:sz w:val="20"/>
              </w:rPr>
              <w:t>Baseline</w:t>
            </w:r>
          </w:p>
        </w:tc>
      </w:tr>
      <w:tr>
        <w:tc>
          <w:tcPr>
            <w:tcW w:type="dxa" w:w="720"/>
          </w:tcPr>
          <w:p>
            <w:r>
              <w:rPr>
                <w:sz w:val="20"/>
              </w:rPr>
              <w:t>C4b</w:t>
            </w:r>
          </w:p>
        </w:tc>
        <w:tc>
          <w:tcPr>
            <w:tcW w:type="dxa" w:w="2160"/>
          </w:tcPr>
          <w:p>
            <w:r>
              <w:rPr>
                <w:sz w:val="20"/>
              </w:rPr>
              <w:t>50</w:t>
            </w:r>
          </w:p>
        </w:tc>
        <w:tc>
          <w:tcPr>
            <w:tcW w:type="dxa" w:w="1728"/>
          </w:tcPr>
          <w:p>
            <w:r>
              <w:rPr>
                <w:sz w:val="20"/>
              </w:rPr>
              <w:t>Scored</w:t>
            </w:r>
          </w:p>
        </w:tc>
        <w:tc>
          <w:tcPr>
            <w:tcW w:type="dxa" w:w="5184"/>
          </w:tcPr>
          <w:p>
            <w:r>
              <w:rPr>
                <w:sz w:val="20"/>
              </w:rPr>
              <w:t>Medium budget</w:t>
            </w:r>
          </w:p>
        </w:tc>
      </w:tr>
      <w:tr>
        <w:tc>
          <w:tcPr>
            <w:tcW w:type="dxa" w:w="720"/>
          </w:tcPr>
          <w:p>
            <w:r>
              <w:rPr>
                <w:sz w:val="20"/>
              </w:rPr>
              <w:t>C4c</w:t>
            </w:r>
          </w:p>
        </w:tc>
        <w:tc>
          <w:tcPr>
            <w:tcW w:type="dxa" w:w="2160"/>
          </w:tcPr>
          <w:p>
            <w:r>
              <w:rPr>
                <w:sz w:val="20"/>
              </w:rPr>
              <w:t>20</w:t>
            </w:r>
          </w:p>
        </w:tc>
        <w:tc>
          <w:tcPr>
            <w:tcW w:type="dxa" w:w="1728"/>
          </w:tcPr>
          <w:p>
            <w:r>
              <w:rPr>
                <w:sz w:val="20"/>
              </w:rPr>
              <w:t>Scored</w:t>
            </w:r>
          </w:p>
        </w:tc>
        <w:tc>
          <w:tcPr>
            <w:tcW w:type="dxa" w:w="5184"/>
          </w:tcPr>
          <w:p>
            <w:r>
              <w:rPr>
                <w:sz w:val="20"/>
              </w:rPr>
              <w:t>Architecture-dominant regime</w:t>
            </w:r>
          </w:p>
        </w:tc>
      </w:tr>
      <w:tr>
        <w:tc>
          <w:tcPr>
            <w:tcW w:type="dxa" w:w="720"/>
          </w:tcPr>
          <w:p>
            <w:r>
              <w:rPr>
                <w:sz w:val="20"/>
              </w:rPr>
              <w:t>C4d</w:t>
            </w:r>
          </w:p>
        </w:tc>
        <w:tc>
          <w:tcPr>
            <w:tcW w:type="dxa" w:w="2160"/>
          </w:tcPr>
          <w:p>
            <w:r>
              <w:rPr>
                <w:sz w:val="20"/>
              </w:rPr>
              <w:t>100</w:t>
            </w:r>
          </w:p>
        </w:tc>
        <w:tc>
          <w:tcPr>
            <w:tcW w:type="dxa" w:w="1728"/>
          </w:tcPr>
          <w:p>
            <w:r>
              <w:rPr>
                <w:sz w:val="20"/>
              </w:rPr>
              <w:t>Random</w:t>
            </w:r>
          </w:p>
        </w:tc>
        <w:tc>
          <w:tcPr>
            <w:tcW w:type="dxa" w:w="5184"/>
          </w:tcPr>
          <w:p>
            <w:r>
              <w:rPr>
                <w:sz w:val="20"/>
              </w:rPr>
              <w:t>Benefit of quality filtering</w:t>
            </w:r>
          </w:p>
        </w:tc>
      </w:tr>
      <w:tr>
        <w:tc>
          <w:tcPr>
            <w:tcW w:type="dxa" w:w="720"/>
          </w:tcPr>
          <w:p>
            <w:r>
              <w:rPr>
                <w:sz w:val="20"/>
              </w:rPr>
              <w:t>C4e</w:t>
            </w:r>
          </w:p>
        </w:tc>
        <w:tc>
          <w:tcPr>
            <w:tcW w:type="dxa" w:w="2160"/>
          </w:tcPr>
          <w:p>
            <w:r>
              <w:rPr>
                <w:sz w:val="20"/>
              </w:rPr>
              <w:t>20</w:t>
            </w:r>
          </w:p>
        </w:tc>
        <w:tc>
          <w:tcPr>
            <w:tcW w:type="dxa" w:w="1728"/>
          </w:tcPr>
          <w:p>
            <w:r>
              <w:rPr>
                <w:sz w:val="20"/>
              </w:rPr>
              <w:t>Random</w:t>
            </w:r>
          </w:p>
        </w:tc>
        <w:tc>
          <w:tcPr>
            <w:tcW w:type="dxa" w:w="5184"/>
          </w:tcPr>
          <w:p>
            <w:r>
              <w:rPr>
                <w:sz w:val="20"/>
              </w:rPr>
              <w:t>Small random replay</w:t>
            </w:r>
          </w:p>
        </w:tc>
      </w:tr>
    </w:tbl>
    <w:p/>
    <w:p>
      <w:pPr>
        <w:pStyle w:val="Heading2"/>
      </w:pPr>
      <w:r>
        <w:t>8.7 Warm-Start vs. Cold-Start Initialization</w:t>
      </w:r>
    </w:p>
    <w:p>
      <w:pPr>
        <w:ind w:firstLine="0"/>
        <w:jc w:val="both"/>
      </w:pPr>
      <w:r>
        <w:t>C3a (warm-start from last trained block) vs. C3b (cold-start from GPT-2 Block 0). Quantifies sample efficiency gained from warm-starting and its effect on asymptotic BWT.</w:t>
      </w:r>
    </w:p>
    <w:p>
      <w:pPr>
        <w:pStyle w:val="Heading2"/>
      </w:pPr>
      <w:r>
        <w:t>8.8 Probing Experiments: Neocortical Evidence for CLS</w:t>
      </w:r>
    </w:p>
    <w:tbl>
      <w:tblPr>
        <w:tblStyle w:val="TableGrid"/>
        <w:tblW w:type="auto" w:w="0"/>
        <w:tblLook w:firstColumn="1" w:firstRow="1" w:lastColumn="0" w:lastRow="0" w:noHBand="0" w:noVBand="1" w:val="04A0"/>
      </w:tblPr>
      <w:tblGrid>
        <w:gridCol w:w="3024"/>
        <w:gridCol w:w="3024"/>
        <w:gridCol w:w="3024"/>
      </w:tblGrid>
      <w:tr>
        <w:tc>
          <w:tcPr>
            <w:tcW w:type="dxa" w:w="720"/>
          </w:tcPr>
          <w:p>
            <w:r>
              <w:rPr>
                <w:b/>
                <w:sz w:val="20"/>
              </w:rPr>
              <w:t>ID</w:t>
            </w:r>
          </w:p>
        </w:tc>
        <w:tc>
          <w:tcPr>
            <w:tcW w:type="dxa" w:w="4608"/>
          </w:tcPr>
          <w:p>
            <w:r>
              <w:rPr>
                <w:b/>
                <w:sz w:val="20"/>
              </w:rPr>
              <w:t>Experiment</w:t>
            </w:r>
          </w:p>
        </w:tc>
        <w:tc>
          <w:tcPr>
            <w:tcW w:type="dxa" w:w="4464"/>
          </w:tcPr>
          <w:p>
            <w:r>
              <w:rPr>
                <w:b/>
                <w:sz w:val="20"/>
              </w:rPr>
              <w:t>Measures</w:t>
            </w:r>
          </w:p>
        </w:tc>
      </w:tr>
      <w:tr>
        <w:tc>
          <w:tcPr>
            <w:tcW w:type="dxa" w:w="720"/>
          </w:tcPr>
          <w:p>
            <w:r>
              <w:rPr>
                <w:sz w:val="20"/>
              </w:rPr>
              <w:t>E1</w:t>
            </w:r>
          </w:p>
        </w:tc>
        <w:tc>
          <w:tcPr>
            <w:tcW w:type="dxa" w:w="4608"/>
          </w:tcPr>
          <w:p>
            <w:r>
              <w:rPr>
                <w:sz w:val="20"/>
              </w:rPr>
              <w:t>Linear probe on frozen Block 0 for P1 vs P3 content</w:t>
            </w:r>
          </w:p>
        </w:tc>
        <w:tc>
          <w:tcPr>
            <w:tcW w:type="dxa" w:w="4464"/>
          </w:tcPr>
          <w:p>
            <w:r>
              <w:rPr>
                <w:sz w:val="20"/>
              </w:rPr>
              <w:t>Temporal discriminability retention</w:t>
            </w:r>
          </w:p>
        </w:tc>
      </w:tr>
      <w:tr>
        <w:tc>
          <w:tcPr>
            <w:tcW w:type="dxa" w:w="720"/>
          </w:tcPr>
          <w:p>
            <w:r>
              <w:rPr>
                <w:sz w:val="20"/>
              </w:rPr>
              <w:t>E2</w:t>
            </w:r>
          </w:p>
        </w:tc>
        <w:tc>
          <w:tcPr>
            <w:tcW w:type="dxa" w:w="4608"/>
          </w:tcPr>
          <w:p>
            <w:r>
              <w:rPr>
                <w:sz w:val="20"/>
              </w:rPr>
              <w:t>Linear probe on frozen Block 0 for P1 before vs after 3 more periods</w:t>
            </w:r>
          </w:p>
        </w:tc>
        <w:tc>
          <w:tcPr>
            <w:tcW w:type="dxa" w:w="4464"/>
          </w:tcPr>
          <w:p>
            <w:r>
              <w:rPr>
                <w:sz w:val="20"/>
              </w:rPr>
              <w:t>Corruption by subsequent training</w:t>
            </w:r>
          </w:p>
        </w:tc>
      </w:tr>
      <w:tr>
        <w:tc>
          <w:tcPr>
            <w:tcW w:type="dxa" w:w="720"/>
          </w:tcPr>
          <w:p>
            <w:r>
              <w:rPr>
                <w:sz w:val="20"/>
              </w:rPr>
              <w:t>E3</w:t>
            </w:r>
          </w:p>
        </w:tc>
        <w:tc>
          <w:tcPr>
            <w:tcW w:type="dxa" w:w="4608"/>
          </w:tcPr>
          <w:p>
            <w:r>
              <w:rPr>
                <w:sz w:val="20"/>
              </w:rPr>
              <w:t>CKA between frozen block states at freeze-time and end of training</w:t>
            </w:r>
          </w:p>
        </w:tc>
        <w:tc>
          <w:tcPr>
            <w:tcW w:type="dxa" w:w="4464"/>
          </w:tcPr>
          <w:p>
            <w:r>
              <w:rPr>
                <w:sz w:val="20"/>
              </w:rPr>
              <w:t>Representation drift in frozen blocks</w:t>
            </w:r>
          </w:p>
        </w:tc>
      </w:tr>
    </w:tbl>
    <w:p/>
    <w:p>
      <w:pPr>
        <w:pStyle w:val="Heading2"/>
      </w:pPr>
      <w:r>
        <w:t>8.9 Hyperparameter Sensitivity</w:t>
      </w:r>
    </w:p>
    <w:p>
      <w:pPr>
        <w:ind w:firstLine="0"/>
        <w:jc w:val="both"/>
      </w:pPr>
      <w:r>
        <w:t>Sensitivity analyses test: saturation threshold combinations (τ_high ∈ {0.75, 0.80, 0.85}, τ_low ∈ {0.55, 0.60, 0.65}); EMA alpha values (α ∈ {0.2, 0.4, 0.6}); patience values (p_learned ∈ {2, 3, 5}, p_full ∈ {3, 5, 8}).</w:t>
      </w:r>
    </w:p>
    <w:p/>
    <w:p>
      <w:pPr>
        <w:pStyle w:val="Heading1"/>
      </w:pPr>
      <w:r>
        <w:t>9. Discussion</w:t>
      </w:r>
    </w:p>
    <w:p>
      <w:pPr>
        <w:pStyle w:val="Heading2"/>
      </w:pPr>
      <w:r>
        <w:t>9.1 When Does INCA Work Well?</w:t>
      </w:r>
    </w:p>
    <w:p>
      <w:pPr>
        <w:ind w:firstLine="0"/>
        <w:jc w:val="both"/>
      </w:pPr>
      <w:r>
        <w:t>INCA is most effective when the data stream has temporal structure that maps cleanly onto the saturation logic: periods of stable knowledge followed by shifts requiring new capacity. This structure is present in TemporalWiki (gradual drift, occasional abrupt changes) and CC-News (event-driven monthly shifts). The adaptive growth rate should reflect the drift profile: slow drift produces many periods per block; fast drift produces few. INCA is less suited to settings with very few periods (fewer than 3-4), where the saturation trigger cannot demonstrate advantages over a fixed schedule.</w:t>
      </w:r>
    </w:p>
    <w:p>
      <w:pPr>
        <w:pStyle w:val="Heading2"/>
      </w:pPr>
      <w:r>
        <w:t>9.2 Limitations</w:t>
      </w:r>
    </w:p>
    <w:p>
      <w:pPr>
        <w:ind w:firstLine="0"/>
        <w:jc w:val="both"/>
      </w:pPr>
      <w:r>
        <w:t>Unbounded model growth: INCA's block count grows monotonically, making the model unwieldy over very long deployments. Noisy saturation signal: with 50 probes, the accuracy estimate has ±7% standard deviation; EMA and the loss co-trigger substantially reduce impact but the underlying signal quality remains a limitation. Router suppression: trainable router components can in principle learn to suppress frozen blocks even when relevant; the ±3 clamping bound limits but does not eliminate this effect. Probe construction quality: the saturation signal quality depends on how well probes cover each period's content.</w:t>
      </w:r>
    </w:p>
    <w:p>
      <w:pPr>
        <w:pStyle w:val="Heading2"/>
      </w:pPr>
      <w:r>
        <w:t>9.3 Broader Implications</w:t>
      </w:r>
    </w:p>
    <w:p>
      <w:pPr>
        <w:ind w:firstLine="0"/>
        <w:jc w:val="both"/>
      </w:pPr>
      <w:r>
        <w:t>INCA's saturation-driven growth principle generalizes beyond language models to any setting requiring sequential learning from a non-stationary distribution without access to past data and with variable drift rate: computer vision continual learning, audio stream modeling, and continual reinforcement learning are natural extensions. The CLS framing also suggests productive research directions — sleep-based offline replay, synaptic tagging and capture [Frey &amp; Morris, 1997], and boundary detection via prediction error [Zacks et al., 2007] all map naturally onto the INCA design space.</w:t>
      </w:r>
    </w:p>
    <w:p/>
    <w:p>
      <w:pPr>
        <w:pStyle w:val="Heading1"/>
      </w:pPr>
      <w:r>
        <w:t>10. Future Work</w:t>
      </w:r>
    </w:p>
    <w:p>
      <w:pPr>
        <w:ind w:firstLine="0"/>
        <w:jc w:val="both"/>
      </w:pPr>
      <w:r>
        <w:t>Block compression and pruning: distilling multiple frozen blocks into a single compressed representation would allow bounded model size over long deployment horizons. Knowledge-aware probing: domain-adaptive probe construction generating questions from specific named entities and facts in each period would produce a more reliable saturation signal. Online saturation detection: continuous accuracy tracking through training stream prediction confidence would reduce growth latency. Multi-modal INCA: extending to vision-language models where temporal knowledge includes both visual and linguistic content. Scaling to larger models: growing via low-rank adapters rather than full transformer blocks would make INCA practical at larger scales. Dynamic replay rescoring: re-scoring replay items periodically would adapt the buffer to the model's current knowledge state. Theoretical analysis of growth rate: a formal account of expected block count as a function of data stream properties. Biological fidelity of Hebbian extensions: investigating STDP and BCM theory plasticity rules in transformer attention mechanisms.</w:t>
      </w:r>
    </w:p>
    <w:p/>
    <w:p>
      <w:pPr>
        <w:pStyle w:val="Heading1"/>
      </w:pPr>
      <w:r>
        <w:t>11. Conclusion</w:t>
      </w:r>
    </w:p>
    <w:p>
      <w:pPr>
        <w:ind w:firstLine="0"/>
        <w:jc w:val="both"/>
      </w:pPr>
      <w:r>
        <w:t>We have presented INCA (Incremental Neural Capacity Allocation), a continual learning framework for language models that grows its architecture on demand, driven by a learned dual-signal saturation detector. INCA appends transformer blocks vertically as needed, freezing each block permanently when its capacity is exhausted, and integrating all block outputs through a differentiable CrossAttentionSelector with per-block hybrid gates.</w:t>
      </w:r>
    </w:p>
    <w:p>
      <w:pPr>
        <w:ind w:firstLine="0"/>
        <w:jc w:val="both"/>
      </w:pPr>
      <w:r>
        <w:t>The key contributions are: (1) a saturation-driven vertical growth criterion that adapts to the data stream without fixed task boundaries; (2) a dual-signal detector combining EMA-smoothed probe accuracy with loss-slope plateau confirmation; (3) a per-block hybrid gate preserving learned temporal relevance while enabling dynamic re-routing; (4) a theoretical connection to Complementary Learning Systems theory grounding every design decision; and (5) Hebbian extensions enabling slow local adaptation in frozen blocks without gradient signal.</w:t>
      </w:r>
    </w:p>
    <w:p>
      <w:pPr>
        <w:ind w:firstLine="0"/>
        <w:jc w:val="both"/>
      </w:pPr>
      <w:r>
        <w:t>INCA demonstrates that the plasticity-stability dilemma in language model continual learning can be addressed through structural rather than parametric means, and that the timing of structural growth is itself a learnable, data-driven decision. We hope that INCA serves as a foundation for further investigation of adaptive architectural growth and biologically-grounded memory consolidation in neural network continual learning.</w:t>
      </w:r>
    </w:p>
    <w:p/>
    <w:p>
      <w:pPr>
        <w:pStyle w:val="Heading1"/>
      </w:pPr>
      <w:r>
        <w:t>References</w:t>
      </w:r>
    </w:p>
    <w:p>
      <w:pPr>
        <w:spacing w:after="60"/>
        <w:ind w:left="432" w:hanging="432"/>
      </w:pPr>
      <w:r>
        <w:rPr>
          <w:rFonts w:ascii="Times New Roman" w:hAnsi="Times New Roman"/>
          <w:sz w:val="20"/>
        </w:rPr>
        <w:t>Aljundi, R., Babiloni, F., Elhoseiny, M., Rohrbach, M., &amp; Tuytelaars, T. (2018). Memory aware synapses: Learning what (not) to forget. ECCV.</w:t>
      </w:r>
    </w:p>
    <w:p>
      <w:pPr>
        <w:spacing w:after="60"/>
        <w:ind w:left="432" w:hanging="432"/>
      </w:pPr>
      <w:r>
        <w:rPr>
          <w:rFonts w:ascii="Times New Roman" w:hAnsi="Times New Roman"/>
          <w:sz w:val="20"/>
        </w:rPr>
        <w:t>Buzzega, P., Boschini, M., Porrello, A., Abati, D., &amp; Calderara, S. (2020). Dark experience for general continual learning: a strong, simple baseline. NeurIPS.</w:t>
      </w:r>
    </w:p>
    <w:p>
      <w:pPr>
        <w:spacing w:after="60"/>
        <w:ind w:left="432" w:hanging="432"/>
      </w:pPr>
      <w:r>
        <w:rPr>
          <w:rFonts w:ascii="Times New Roman" w:hAnsi="Times New Roman"/>
          <w:sz w:val="20"/>
        </w:rPr>
        <w:t>Chaudhry, A., Ranzato, M., Rohrbach, M., &amp; Elhoseiny, M. (2018). Efficient lifelong learning with A-GEM. ICLR.</w:t>
      </w:r>
    </w:p>
    <w:p>
      <w:pPr>
        <w:spacing w:after="60"/>
        <w:ind w:left="432" w:hanging="432"/>
      </w:pPr>
      <w:r>
        <w:rPr>
          <w:rFonts w:ascii="Times New Roman" w:hAnsi="Times New Roman"/>
          <w:sz w:val="20"/>
        </w:rPr>
        <w:t>Dhingra, B., Cole, J. R., Eisenschlos, J. M., Gillick, D., Eisenstein, J., &amp; Cohen, W. W. (2022). Time-aware language models as temporal knowledge bases. Transactions of the ACL.</w:t>
      </w:r>
    </w:p>
    <w:p>
      <w:pPr>
        <w:spacing w:after="60"/>
        <w:ind w:left="432" w:hanging="432"/>
      </w:pPr>
      <w:r>
        <w:rPr>
          <w:rFonts w:ascii="Times New Roman" w:hAnsi="Times New Roman"/>
          <w:sz w:val="20"/>
        </w:rPr>
        <w:t>Fahlman, S. E., &amp; Lebiere, C. (1990). The cascade-correlation learning architecture. NeurIPS.</w:t>
      </w:r>
    </w:p>
    <w:p>
      <w:pPr>
        <w:spacing w:after="60"/>
        <w:ind w:left="432" w:hanging="432"/>
      </w:pPr>
      <w:r>
        <w:rPr>
          <w:rFonts w:ascii="Times New Roman" w:hAnsi="Times New Roman"/>
          <w:sz w:val="20"/>
        </w:rPr>
        <w:t>Frankland, P. W., &amp; Bontempi, B. (2005). The organization of recent and remote memories. Nature Reviews Neuroscience, 6(2), 119-130.</w:t>
      </w:r>
    </w:p>
    <w:p>
      <w:pPr>
        <w:spacing w:after="60"/>
        <w:ind w:left="432" w:hanging="432"/>
      </w:pPr>
      <w:r>
        <w:rPr>
          <w:rFonts w:ascii="Times New Roman" w:hAnsi="Times New Roman"/>
          <w:sz w:val="20"/>
        </w:rPr>
        <w:t>Frey, U., &amp; Morris, R. G. M. (1997). Synaptic tagging and long-term potentiation. Nature, 385, 533-536.</w:t>
      </w:r>
    </w:p>
    <w:p>
      <w:pPr>
        <w:spacing w:after="60"/>
        <w:ind w:left="432" w:hanging="432"/>
      </w:pPr>
      <w:r>
        <w:rPr>
          <w:rFonts w:ascii="Times New Roman" w:hAnsi="Times New Roman"/>
          <w:sz w:val="20"/>
        </w:rPr>
        <w:t>Goodfellow, I. J., Mirza, M., Xiao, D., Courville, A., &amp; Bengio, Y. (2013). An empirical investigation of catastrophic forgetting in gradient-based neural networks. arXiv:1312.6211.</w:t>
      </w:r>
    </w:p>
    <w:p>
      <w:pPr>
        <w:spacing w:after="60"/>
        <w:ind w:left="432" w:hanging="432"/>
      </w:pPr>
      <w:r>
        <w:rPr>
          <w:rFonts w:ascii="Times New Roman" w:hAnsi="Times New Roman"/>
          <w:sz w:val="20"/>
        </w:rPr>
        <w:t>Guu, K., Lee, K., Tung, Z., Pasupat, P., &amp; Chang, M. W. (2020). REALM: Retrieval-augmented language model pre-training. ICML.</w:t>
      </w:r>
    </w:p>
    <w:p>
      <w:pPr>
        <w:spacing w:after="60"/>
        <w:ind w:left="432" w:hanging="432"/>
      </w:pPr>
      <w:r>
        <w:rPr>
          <w:rFonts w:ascii="Times New Roman" w:hAnsi="Times New Roman"/>
          <w:sz w:val="20"/>
        </w:rPr>
        <w:t>Houlsby, N., et al. (2019). Parameter-efficient transfer learning for NLP. ICML.</w:t>
      </w:r>
    </w:p>
    <w:p>
      <w:pPr>
        <w:spacing w:after="60"/>
        <w:ind w:left="432" w:hanging="432"/>
      </w:pPr>
      <w:r>
        <w:rPr>
          <w:rFonts w:ascii="Times New Roman" w:hAnsi="Times New Roman"/>
          <w:sz w:val="20"/>
        </w:rPr>
        <w:t>Hu, E. J., Shen, Y., Wallis, P., Allen-Zhu, Z., Li, Y., Wang, S., &amp; Chen, W. (2022). LoRA: Low-rank adaptation of large language models. ICLR.</w:t>
      </w:r>
    </w:p>
    <w:p>
      <w:pPr>
        <w:spacing w:after="60"/>
        <w:ind w:left="432" w:hanging="432"/>
      </w:pPr>
      <w:r>
        <w:rPr>
          <w:rFonts w:ascii="Times New Roman" w:hAnsi="Times New Roman"/>
          <w:sz w:val="20"/>
        </w:rPr>
        <w:t>Jang, J., Ye, S., Yang, C., Shin, J., Han, J., Kim, G., &amp; Seo, M. (2022). Towards continual knowledge learning of language models. EACL.</w:t>
      </w:r>
    </w:p>
    <w:p>
      <w:pPr>
        <w:spacing w:after="60"/>
        <w:ind w:left="432" w:hanging="432"/>
      </w:pPr>
      <w:r>
        <w:rPr>
          <w:rFonts w:ascii="Times New Roman" w:hAnsi="Times New Roman"/>
          <w:sz w:val="20"/>
        </w:rPr>
        <w:t>Kirkpatrick, J., et al. (2017). Overcoming catastrophic forgetting in neural networks. PNAS, 114(13), 3521-3526.</w:t>
      </w:r>
    </w:p>
    <w:p>
      <w:pPr>
        <w:spacing w:after="60"/>
        <w:ind w:left="432" w:hanging="432"/>
      </w:pPr>
      <w:r>
        <w:rPr>
          <w:rFonts w:ascii="Times New Roman" w:hAnsi="Times New Roman"/>
          <w:sz w:val="20"/>
        </w:rPr>
        <w:t>Kumaran, D., Hassabis, D., &amp; McClelland, J. L. (2016). What learning systems do intelligent agents need? Complementary learning systems theory updated. Trends in Cognitive Sciences, 20(7), 512-534.</w:t>
      </w:r>
    </w:p>
    <w:p>
      <w:pPr>
        <w:spacing w:after="60"/>
        <w:ind w:left="432" w:hanging="432"/>
      </w:pPr>
      <w:r>
        <w:rPr>
          <w:rFonts w:ascii="Times New Roman" w:hAnsi="Times New Roman"/>
          <w:sz w:val="20"/>
        </w:rPr>
        <w:t>Lazaridou, A., et al. (2021). Mind the gap: Assessing temporal generalization in neural language models. NeurIPS.</w:t>
      </w:r>
    </w:p>
    <w:p>
      <w:pPr>
        <w:spacing w:after="60"/>
        <w:ind w:left="432" w:hanging="432"/>
      </w:pPr>
      <w:r>
        <w:rPr>
          <w:rFonts w:ascii="Times New Roman" w:hAnsi="Times New Roman"/>
          <w:sz w:val="20"/>
        </w:rPr>
        <w:t>Lewis, P., et al. (2020). Retrieval-augmented generation for knowledge-intensive NLP tasks. NeurIPS.</w:t>
      </w:r>
    </w:p>
    <w:p>
      <w:pPr>
        <w:spacing w:after="60"/>
        <w:ind w:left="432" w:hanging="432"/>
      </w:pPr>
      <w:r>
        <w:rPr>
          <w:rFonts w:ascii="Times New Roman" w:hAnsi="Times New Roman"/>
          <w:sz w:val="20"/>
        </w:rPr>
        <w:t>Li, Z., &amp; Hoiem, D. (2018). Learning without forgetting. IEEE TPAMI, 40(12), 2935-2947.</w:t>
      </w:r>
    </w:p>
    <w:p>
      <w:pPr>
        <w:spacing w:after="60"/>
        <w:ind w:left="432" w:hanging="432"/>
      </w:pPr>
      <w:r>
        <w:rPr>
          <w:rFonts w:ascii="Times New Roman" w:hAnsi="Times New Roman"/>
          <w:sz w:val="20"/>
        </w:rPr>
        <w:t>Lopez-Paz, D., &amp; Ranzato, M. (2017). Gradient episodic memory for continual learning. NeurIPS.</w:t>
      </w:r>
    </w:p>
    <w:p>
      <w:pPr>
        <w:spacing w:after="60"/>
        <w:ind w:left="432" w:hanging="432"/>
      </w:pPr>
      <w:r>
        <w:rPr>
          <w:rFonts w:ascii="Times New Roman" w:hAnsi="Times New Roman"/>
          <w:sz w:val="20"/>
        </w:rPr>
        <w:t>Mallya, A., &amp; Lazebnik, S. (2018). PackNet: Adding multiple tasks to a single network by iterative pruning. CVPR.</w:t>
      </w:r>
    </w:p>
    <w:p>
      <w:pPr>
        <w:spacing w:after="60"/>
        <w:ind w:left="432" w:hanging="432"/>
      </w:pPr>
      <w:r>
        <w:rPr>
          <w:rFonts w:ascii="Times New Roman" w:hAnsi="Times New Roman"/>
          <w:sz w:val="20"/>
        </w:rPr>
        <w:t>McClelland, J. L., McNaughton, B. L., &amp; O'Reilly, R. C. (1995). Why there are complementary learning systems in the hippocampus and neocortex. Psychological Review, 102(3), 419-457.</w:t>
      </w:r>
    </w:p>
    <w:p>
      <w:pPr>
        <w:spacing w:after="60"/>
        <w:ind w:left="432" w:hanging="432"/>
      </w:pPr>
      <w:r>
        <w:rPr>
          <w:rFonts w:ascii="Times New Roman" w:hAnsi="Times New Roman"/>
          <w:sz w:val="20"/>
        </w:rPr>
        <w:t>McCloskey, M., &amp; Cohen, N. J. (1989). Catastrophic interference in connectionist networks: The sequential learning problem. Psychology of Learning and Motivation, 24, 109-165.</w:t>
      </w:r>
    </w:p>
    <w:p>
      <w:pPr>
        <w:spacing w:after="60"/>
        <w:ind w:left="432" w:hanging="432"/>
      </w:pPr>
      <w:r>
        <w:rPr>
          <w:rFonts w:ascii="Times New Roman" w:hAnsi="Times New Roman"/>
          <w:sz w:val="20"/>
        </w:rPr>
        <w:t>Oja, E. (1982). A simplified neuron model as a principal component analyzer. Journal of Mathematical Biology, 15(3), 267-273.</w:t>
      </w:r>
    </w:p>
    <w:p>
      <w:pPr>
        <w:spacing w:after="60"/>
        <w:ind w:left="432" w:hanging="432"/>
      </w:pPr>
      <w:r>
        <w:rPr>
          <w:rFonts w:ascii="Times New Roman" w:hAnsi="Times New Roman"/>
          <w:sz w:val="20"/>
        </w:rPr>
        <w:t>O'Reilly, R. C., &amp; Rudy, J. W. (2001). Conjunctive representations in learning and memory. Psychological Review, 108(2), 311-345.</w:t>
      </w:r>
    </w:p>
    <w:p>
      <w:pPr>
        <w:spacing w:after="60"/>
        <w:ind w:left="432" w:hanging="432"/>
      </w:pPr>
      <w:r>
        <w:rPr>
          <w:rFonts w:ascii="Times New Roman" w:hAnsi="Times New Roman"/>
          <w:sz w:val="20"/>
        </w:rPr>
        <w:t>Pfeiffer, J., et al. (2020). AdapterHub: A framework for adapting transformers. EMNLP (Demos).</w:t>
      </w:r>
    </w:p>
    <w:p>
      <w:pPr>
        <w:spacing w:after="60"/>
        <w:ind w:left="432" w:hanging="432"/>
      </w:pPr>
      <w:r>
        <w:rPr>
          <w:rFonts w:ascii="Times New Roman" w:hAnsi="Times New Roman"/>
          <w:sz w:val="20"/>
        </w:rPr>
        <w:t>Radford, A., Wu, J., Child, R., Luan, D., Amodei, D., &amp; Sutskever, I. (2019). Language models are unsupervised multitask learners. OpenAI Blog.</w:t>
      </w:r>
    </w:p>
    <w:p>
      <w:pPr>
        <w:spacing w:after="60"/>
        <w:ind w:left="432" w:hanging="432"/>
      </w:pPr>
      <w:r>
        <w:rPr>
          <w:rFonts w:ascii="Times New Roman" w:hAnsi="Times New Roman"/>
          <w:sz w:val="20"/>
        </w:rPr>
        <w:t>Ratcliff, R. (1990). Connectionist models of recognition memory. Psychological Review, 97(2), 285-308.</w:t>
      </w:r>
    </w:p>
    <w:p>
      <w:pPr>
        <w:spacing w:after="60"/>
        <w:ind w:left="432" w:hanging="432"/>
      </w:pPr>
      <w:r>
        <w:rPr>
          <w:rFonts w:ascii="Times New Roman" w:hAnsi="Times New Roman"/>
          <w:sz w:val="20"/>
        </w:rPr>
        <w:t>Rolnick, D., Ahuja, A., Schwarz, J., Lillicrap, T., &amp; Wayne, G. (2019). Experience replay for continual learning. NeurIPS.</w:t>
      </w:r>
    </w:p>
    <w:p>
      <w:pPr>
        <w:spacing w:after="60"/>
        <w:ind w:left="432" w:hanging="432"/>
      </w:pPr>
      <w:r>
        <w:rPr>
          <w:rFonts w:ascii="Times New Roman" w:hAnsi="Times New Roman"/>
          <w:sz w:val="20"/>
        </w:rPr>
        <w:t>Rusu, A. A., et al. (2016). Progressive neural networks. arXiv:1606.04671.</w:t>
      </w:r>
    </w:p>
    <w:p>
      <w:pPr>
        <w:spacing w:after="60"/>
        <w:ind w:left="432" w:hanging="432"/>
      </w:pPr>
      <w:r>
        <w:rPr>
          <w:rFonts w:ascii="Times New Roman" w:hAnsi="Times New Roman"/>
          <w:sz w:val="20"/>
        </w:rPr>
        <w:t>Schwarz, J., et al. (2018). Progress &amp; compress: A scalable framework for continual learning. ICML.</w:t>
      </w:r>
    </w:p>
    <w:p>
      <w:pPr>
        <w:spacing w:after="60"/>
        <w:ind w:left="432" w:hanging="432"/>
      </w:pPr>
      <w:r>
        <w:rPr>
          <w:rFonts w:ascii="Times New Roman" w:hAnsi="Times New Roman"/>
          <w:sz w:val="20"/>
        </w:rPr>
        <w:t>Serra, J., Suris, D., Miron, M., &amp; Karatzoglou, A. (2018). Overcoming catastrophic forgetting with hard attention to the task. ICML.</w:t>
      </w:r>
    </w:p>
    <w:p>
      <w:pPr>
        <w:spacing w:after="60"/>
        <w:ind w:left="432" w:hanging="432"/>
      </w:pPr>
      <w:r>
        <w:rPr>
          <w:rFonts w:ascii="Times New Roman" w:hAnsi="Times New Roman"/>
          <w:sz w:val="20"/>
        </w:rPr>
        <w:t>Shin, H., Lee, J. K., Kim, J., &amp; Kim, J. (2017). Continual learning with deep generative replay. NeurIPS.</w:t>
      </w:r>
    </w:p>
    <w:p>
      <w:pPr>
        <w:spacing w:after="60"/>
        <w:ind w:left="432" w:hanging="432"/>
      </w:pPr>
      <w:r>
        <w:rPr>
          <w:rFonts w:ascii="Times New Roman" w:hAnsi="Times New Roman"/>
          <w:sz w:val="20"/>
        </w:rPr>
        <w:t>van de Ven, G. M., &amp; Tolias, A. S. (2018). Generative replay with feedback connections as a general strategy for continual learning. arXiv:1809.10635.</w:t>
      </w:r>
    </w:p>
    <w:p>
      <w:pPr>
        <w:spacing w:after="60"/>
        <w:ind w:left="432" w:hanging="432"/>
      </w:pPr>
      <w:r>
        <w:rPr>
          <w:rFonts w:ascii="Times New Roman" w:hAnsi="Times New Roman"/>
          <w:sz w:val="20"/>
        </w:rPr>
        <w:t>Wu, C., Luo, X., Liu, F., Wu, F., Yang, C., Jin, Y., &amp; Xu, C. (2024). LLaMA Pro: Progressive LLaMA with block expansion. Proceedings of the 62nd Annual Meeting of the ACL (ACL 2024), Bangkok, Thailand.</w:t>
      </w:r>
    </w:p>
    <w:p>
      <w:pPr>
        <w:spacing w:after="60"/>
        <w:ind w:left="432" w:hanging="432"/>
      </w:pPr>
      <w:r>
        <w:rPr>
          <w:rFonts w:ascii="Times New Roman" w:hAnsi="Times New Roman"/>
          <w:sz w:val="20"/>
        </w:rPr>
        <w:t>Yoon, J., Yang, E., Lee, J., &amp; Hwang, S. J. (2018). Lifelong learning with dynamically expandable networks. ICLR.</w:t>
      </w:r>
    </w:p>
    <w:p>
      <w:pPr>
        <w:spacing w:after="60"/>
        <w:ind w:left="432" w:hanging="432"/>
      </w:pPr>
      <w:r>
        <w:rPr>
          <w:rFonts w:ascii="Times New Roman" w:hAnsi="Times New Roman"/>
          <w:sz w:val="20"/>
        </w:rPr>
        <w:t>Zacks, J. M., et al. (2007). Event perception: A mind-brain perspective. Psychological Bulletin, 133(2), 273-293.</w:t>
      </w:r>
    </w:p>
    <w:p>
      <w:pPr>
        <w:spacing w:after="60"/>
        <w:ind w:left="432" w:hanging="432"/>
      </w:pPr>
      <w:r>
        <w:rPr>
          <w:rFonts w:ascii="Times New Roman" w:hAnsi="Times New Roman"/>
          <w:sz w:val="20"/>
        </w:rPr>
        <w:t>Zenke, F., Poole, B., &amp; Ganguli, S. (2017). Continual learning through synaptic intelligence. ICML.</w:t>
      </w:r>
    </w:p>
    <w:p>
      <w:pPr>
        <w:spacing w:after="60"/>
        <w:ind w:left="432" w:hanging="432"/>
      </w:pPr>
      <w:r>
        <w:rPr>
          <w:rFonts w:ascii="Times New Roman" w:hAnsi="Times New Roman"/>
          <w:sz w:val="20"/>
        </w:rPr>
        <w:t>Zoph, B., &amp; Le, Q. V. (2017). Neural architecture search with reinforcement learning. ICLR.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0" w:lineRule="exact"/>
    </w:pPr>
    <w:rPr>
      <w:rFonts w:ascii="Times New Roman" w:hAnsi="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Times New Roman" w:hAnsi="Times New Roman"/>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Times New Roman" w:hAnsi="Times New Roman"/>
      <w:b/>
      <w:bCs/>
      <w:i/>
      <w:iCs/>
      <w:color w:val="1F39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