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jc w:val="center"/>
      </w:pPr>
      <w:r>
        <w:rPr>
          <w:rFonts w:ascii="Calibri" w:hAnsi="Calibri"/>
          <w:b/>
          <w:color w:val="1F497D"/>
          <w:sz w:val="56"/>
        </w:rPr>
        <w:t>Training Large Language Models</w:t>
      </w:r>
    </w:p>
    <w:p>
      <w:pPr>
        <w:jc w:val="center"/>
      </w:pPr>
      <w:r>
        <w:rPr>
          <w:rFonts w:ascii="Calibri" w:hAnsi="Calibri"/>
          <w:color w:val="2E86AB"/>
          <w:sz w:val="32"/>
        </w:rPr>
        <w:t>Architectures, Techniques, and Key Models</w:t>
      </w:r>
    </w:p>
    <w:p>
      <w:pPr>
        <w:spacing w:before="80" w:after="80"/>
        <w:pBdr>
          <w:bottom w:val="single" w:sz="6" w:space="1" w:color="1F497D"/>
        </w:pBdr>
      </w:pPr>
    </w:p>
    <w:p/>
    <w:p>
      <w:pPr>
        <w:jc w:val="center"/>
      </w:pPr>
      <w:r>
        <w:rPr>
          <w:rFonts w:ascii="Calibri" w:hAnsi="Calibri"/>
          <w:color w:val="444444"/>
          <w:sz w:val="24"/>
        </w:rPr>
        <w:t>A technical deep-dive into how LLaMA Pro, Mistral, Mixtral MoE,</w:t>
        <w:br/>
        <w:t>and modern continual-learning variants are built and trained.</w:t>
      </w:r>
    </w:p>
    <w:p/>
    <w:p>
      <w:r>
        <w:br w:type="page"/>
      </w:r>
    </w:p>
    <w:p>
      <w:pPr>
        <w:pStyle w:val="Heading1"/>
        <w:jc w:val="left"/>
      </w:pPr>
      <w:r>
        <w:rPr>
          <w:rFonts w:ascii="Calibri" w:hAnsi="Calibri"/>
          <w:color w:val="1F497D"/>
        </w:rPr>
        <w:t>1. Introduction</w:t>
      </w:r>
    </w:p>
    <w:p>
      <w:pPr>
        <w:spacing w:after="120" w:before="40"/>
      </w:pPr>
      <w:r>
        <w:rPr>
          <w:rFonts w:ascii="Calibri" w:hAnsi="Calibri"/>
          <w:sz w:val="22"/>
        </w:rPr>
        <w:t>Large Language Models (LLMs) are transformer-based neural networks trained on vast corpora to predict the next token given context. Over the last five years, the field has evolved from single-stage pre-training pipelines (GPT-2, BERT) to multi-phase workflows combining unsupervised pre-training, supervised fine-tuning (SFT), reinforcement learning from human feedback (RLHF), and parameter-efficient adaptation.</w:t>
      </w:r>
    </w:p>
    <w:p>
      <w:pPr>
        <w:spacing w:after="120" w:before="40"/>
      </w:pPr>
      <w:r>
        <w:rPr>
          <w:rFonts w:ascii="Calibri" w:hAnsi="Calibri"/>
          <w:sz w:val="22"/>
        </w:rPr>
        <w:t>This report focuses on three families that have defined the modern frontier: **LLaMA Pro** (vertical block expansion for continual learning), **Mistral** (architectural efficiency innovations), and **Mixture-of-Experts (MoE)** models including Mixtral. Each represents a distinct philosophy for scaling capability without proportionally scaling compute.</w:t>
      </w:r>
    </w:p>
    <w:p>
      <w:pPr>
        <w:spacing w:before="80" w:after="80"/>
        <w:pBdr>
          <w:bottom w:val="single" w:sz="6" w:space="1" w:color="2E86AB"/>
        </w:pBdr>
      </w:pPr>
    </w:p>
    <w:p>
      <w:pPr>
        <w:pStyle w:val="Heading1"/>
        <w:jc w:val="left"/>
      </w:pPr>
      <w:r>
        <w:rPr>
          <w:rFonts w:ascii="Calibri" w:hAnsi="Calibri"/>
          <w:color w:val="1F497D"/>
        </w:rPr>
        <w:t>2. Foundation: The Pre-Training Pipeline</w:t>
      </w:r>
    </w:p>
    <w:p>
      <w:pPr>
        <w:spacing w:after="120" w:before="40"/>
      </w:pPr>
      <w:r>
        <w:rPr>
          <w:rFonts w:ascii="Calibri" w:hAnsi="Calibri"/>
          <w:sz w:val="22"/>
        </w:rPr>
        <w:t>All modern LLMs share a common pre-training substrate. Understanding it is prerequisite to understanding what each architecture innovates.</w:t>
      </w:r>
    </w:p>
    <w:p>
      <w:pPr>
        <w:pStyle w:val="Heading2"/>
        <w:jc w:val="left"/>
      </w:pPr>
      <w:r>
        <w:rPr>
          <w:rFonts w:ascii="Calibri" w:hAnsi="Calibri"/>
          <w:color w:val="1F497D"/>
        </w:rPr>
        <w:t>2.1  Data Collection and Tokenisation</w:t>
      </w:r>
    </w:p>
    <w:p>
      <w:pPr>
        <w:spacing w:after="120" w:before="40"/>
      </w:pPr>
      <w:r>
        <w:rPr>
          <w:rFonts w:ascii="Calibri" w:hAnsi="Calibri"/>
          <w:sz w:val="22"/>
        </w:rPr>
        <w:t>Training corpora for frontier models are assembled from web crawls (Common Crawl, C4), books (Books3, Project Gutenberg), code (GitHub), academic papers (arXiv, PubMed), and curated multilingual sources. Typical corpus sizes range from 1–15 trillion tokens. Data quality pipelines include:</w:t>
      </w:r>
    </w:p>
    <w:p>
      <w:pPr>
        <w:pStyle w:val="ListBullet"/>
        <w:spacing w:after="60" w:before="20"/>
        <w:ind w:left="432"/>
      </w:pPr>
      <w:r>
        <w:rPr>
          <w:rFonts w:ascii="Calibri" w:hAnsi="Calibri"/>
          <w:sz w:val="22"/>
        </w:rPr>
        <w:t>Deduplication (MinHash LSH or exact suffix-array dedup)</w:t>
      </w:r>
    </w:p>
    <w:p>
      <w:pPr>
        <w:pStyle w:val="ListBullet"/>
        <w:spacing w:after="60" w:before="20"/>
        <w:ind w:left="432"/>
      </w:pPr>
      <w:r>
        <w:rPr>
          <w:rFonts w:ascii="Calibri" w:hAnsi="Calibri"/>
          <w:sz w:val="22"/>
        </w:rPr>
        <w:t>Heuristic quality filters (perplexity scoring, language ID, length filtering)</w:t>
      </w:r>
    </w:p>
    <w:p>
      <w:pPr>
        <w:pStyle w:val="ListBullet"/>
        <w:spacing w:after="60" w:before="20"/>
        <w:ind w:left="432"/>
      </w:pPr>
      <w:r>
        <w:rPr>
          <w:rFonts w:ascii="Calibri" w:hAnsi="Calibri"/>
          <w:sz w:val="22"/>
        </w:rPr>
        <w:t>Toxic content removal and PII scrubbing</w:t>
      </w:r>
    </w:p>
    <w:p>
      <w:pPr>
        <w:pStyle w:val="ListBullet"/>
        <w:spacing w:after="60" w:before="20"/>
        <w:ind w:left="432"/>
      </w:pPr>
      <w:r>
        <w:rPr>
          <w:rFonts w:ascii="Calibri" w:hAnsi="Calibri"/>
          <w:sz w:val="22"/>
        </w:rPr>
        <w:t>Domain mixing with carefully tuned sampling weights</w:t>
      </w:r>
    </w:p>
    <w:p>
      <w:pPr>
        <w:spacing w:after="120" w:before="40"/>
      </w:pPr>
      <w:r>
        <w:rPr>
          <w:rFonts w:ascii="Calibri" w:hAnsi="Calibri"/>
          <w:sz w:val="22"/>
        </w:rPr>
        <w:t>Tokenisation uses Byte-Pair Encoding (BPE) or SentencePiece with vocabularies of 32k–128k tokens. Larger vocabularies improve character-level coverage and reduce sequence length, directly reducing attention cost.</w:t>
      </w:r>
    </w:p>
    <w:p>
      <w:pPr>
        <w:pStyle w:val="Heading2"/>
        <w:jc w:val="left"/>
      </w:pPr>
      <w:r>
        <w:rPr>
          <w:rFonts w:ascii="Calibri" w:hAnsi="Calibri"/>
          <w:color w:val="1F497D"/>
        </w:rPr>
        <w:t>2.2  Model Architecture</w:t>
      </w:r>
    </w:p>
    <w:p>
      <w:pPr>
        <w:spacing w:after="120" w:before="40"/>
      </w:pPr>
      <w:r>
        <w:rPr>
          <w:rFonts w:ascii="Calibri" w:hAnsi="Calibri"/>
          <w:sz w:val="22"/>
        </w:rPr>
        <w:t>All three model families build on the decoder-only transformer. Key design choices that have become standard:</w:t>
      </w:r>
    </w:p>
    <w:p>
      <w:pPr>
        <w:pStyle w:val="ListBullet"/>
        <w:spacing w:after="60" w:before="20"/>
        <w:ind w:left="432"/>
      </w:pPr>
      <w:r>
        <w:rPr>
          <w:rFonts w:ascii="Calibri" w:hAnsi="Calibri"/>
          <w:b/>
          <w:sz w:val="22"/>
        </w:rPr>
        <w:t xml:space="preserve">Replaces absolute positional encodings; enables length generalisation by encoding relative positions in rotation matrices applied to Q and K projections. </w:t>
      </w:r>
      <w:r>
        <w:rPr>
          <w:rFonts w:ascii="Calibri" w:hAnsi="Calibri"/>
          <w:sz w:val="22"/>
        </w:rPr>
        <w:t>**RoPE (Rotary Position Embeddings):**</w:t>
      </w:r>
    </w:p>
    <w:p>
      <w:pPr>
        <w:pStyle w:val="ListBullet"/>
        <w:spacing w:after="60" w:before="20"/>
        <w:ind w:left="432"/>
      </w:pPr>
      <w:r>
        <w:rPr>
          <w:rFonts w:ascii="Calibri" w:hAnsi="Calibri"/>
          <w:b/>
          <w:sz w:val="22"/>
        </w:rPr>
        <w:t xml:space="preserve">Replaces LayerNorm; removes the mean-centering step for a 10–15% speed gain with equivalent stability. </w:t>
      </w:r>
      <w:r>
        <w:rPr>
          <w:rFonts w:ascii="Calibri" w:hAnsi="Calibri"/>
          <w:sz w:val="22"/>
        </w:rPr>
        <w:t>**RMSNorm:**</w:t>
      </w:r>
    </w:p>
    <w:p>
      <w:pPr>
        <w:pStyle w:val="ListBullet"/>
        <w:spacing w:after="60" w:before="20"/>
        <w:ind w:left="432"/>
      </w:pPr>
      <w:r>
        <w:rPr>
          <w:rFonts w:ascii="Calibri" w:hAnsi="Calibri"/>
          <w:b/>
          <w:sz w:val="22"/>
        </w:rPr>
        <w:t xml:space="preserve">Replaces ReLU/GELU in the FFN with a gated linear unit, empirically improving perplexity at equal parameter count. </w:t>
      </w:r>
      <w:r>
        <w:rPr>
          <w:rFonts w:ascii="Calibri" w:hAnsi="Calibri"/>
          <w:sz w:val="22"/>
        </w:rPr>
        <w:t>**SwiGLU activation:**</w:t>
      </w:r>
    </w:p>
    <w:p>
      <w:pPr>
        <w:pStyle w:val="ListBullet"/>
        <w:spacing w:after="60" w:before="20"/>
        <w:ind w:left="432"/>
      </w:pPr>
      <w:r>
        <w:rPr>
          <w:rFonts w:ascii="Calibri" w:hAnsi="Calibri"/>
          <w:b/>
          <w:sz w:val="22"/>
        </w:rPr>
        <w:t xml:space="preserve">Linear layers omit bias vectors; reduces parameters and simplifies weight decay. </w:t>
      </w:r>
      <w:r>
        <w:rPr>
          <w:rFonts w:ascii="Calibri" w:hAnsi="Calibri"/>
          <w:sz w:val="22"/>
        </w:rPr>
        <w:t>**No bias terms:**</w:t>
      </w:r>
    </w:p>
    <w:p>
      <w:pPr>
        <w:pStyle w:val="Heading2"/>
        <w:jc w:val="left"/>
      </w:pPr>
      <w:r>
        <w:rPr>
          <w:rFonts w:ascii="Calibri" w:hAnsi="Calibri"/>
          <w:color w:val="1F497D"/>
        </w:rPr>
        <w:t>2.3  Training Objective and Optimisation</w:t>
      </w:r>
    </w:p>
    <w:p>
      <w:pPr>
        <w:spacing w:after="120" w:before="40"/>
      </w:pPr>
      <w:r>
        <w:rPr>
          <w:rFonts w:ascii="Calibri" w:hAnsi="Calibri"/>
          <w:sz w:val="22"/>
        </w:rPr>
        <w:t>The universal objective is **next-token prediction** (autoregressive language modelling): minimise cross-entropy loss over all token positions in the context window. Key optimisation choices:</w:t>
      </w:r>
    </w:p>
    <w:p>
      <w:pPr>
        <w:pStyle w:val="ListBullet"/>
        <w:spacing w:after="60" w:before="20"/>
        <w:ind w:left="432"/>
      </w:pPr>
      <w:r>
        <w:rPr>
          <w:rFonts w:ascii="Calibri" w:hAnsi="Calibri"/>
          <w:sz w:val="22"/>
        </w:rPr>
        <w:t>**AdamW** (β₁=0.9, β₂=0.95, ε=1e-8) with weight decay 0.1</w:t>
      </w:r>
    </w:p>
    <w:p>
      <w:pPr>
        <w:pStyle w:val="ListBullet"/>
        <w:spacing w:after="60" w:before="20"/>
        <w:ind w:left="432"/>
      </w:pPr>
      <w:r>
        <w:rPr>
          <w:rFonts w:ascii="Calibri" w:hAnsi="Calibri"/>
          <w:sz w:val="22"/>
        </w:rPr>
        <w:t>**Cosine learning rate schedule** with linear warm-up (typically 2k–4k steps)</w:t>
      </w:r>
    </w:p>
    <w:p>
      <w:pPr>
        <w:pStyle w:val="ListBullet"/>
        <w:spacing w:after="60" w:before="20"/>
        <w:ind w:left="432"/>
      </w:pPr>
      <w:r>
        <w:rPr>
          <w:rFonts w:ascii="Calibri" w:hAnsi="Calibri"/>
          <w:sz w:val="22"/>
        </w:rPr>
        <w:t>**Gradient clipping** at norm 1.0 to prevent spikes</w:t>
      </w:r>
    </w:p>
    <w:p>
      <w:pPr>
        <w:pStyle w:val="ListBullet"/>
        <w:spacing w:after="60" w:before="20"/>
        <w:ind w:left="432"/>
      </w:pPr>
      <w:r>
        <w:rPr>
          <w:rFonts w:ascii="Calibri" w:hAnsi="Calibri"/>
          <w:sz w:val="22"/>
        </w:rPr>
        <w:t>**Mixed precision** (BF16 for weights/activations, FP32 for master weights and gradient accumulation)</w:t>
      </w:r>
    </w:p>
    <w:p>
      <w:pPr>
        <w:pStyle w:val="ListBullet"/>
        <w:spacing w:after="60" w:before="20"/>
        <w:ind w:left="432"/>
      </w:pPr>
      <w:r>
        <w:rPr>
          <w:rFonts w:ascii="Calibri" w:hAnsi="Calibri"/>
          <w:sz w:val="22"/>
        </w:rPr>
        <w:t>**Gradient checkpointing** to trade recomputation for memory</w:t>
      </w:r>
    </w:p>
    <w:p>
      <w:pPr>
        <w:spacing w:after="120" w:before="40"/>
      </w:pPr>
      <w:r>
        <w:rPr>
          <w:rFonts w:ascii="Calibri" w:hAnsi="Calibri"/>
          <w:sz w:val="22"/>
        </w:rPr>
        <w:t>Large runs use **ZeRO-3** (DeepSpeed) or **FSDP** (PyTorch) to shard optimiser states, gradients, and parameters across thousands of GPUs, reducing per-GPU memory from O(model_size × 4) to O(model_size / world_size × 4).</w:t>
      </w:r>
    </w:p>
    <w:p>
      <w:pPr>
        <w:spacing w:before="80" w:after="80"/>
        <w:pBdr>
          <w:bottom w:val="single" w:sz="6" w:space="1" w:color="2E86AB"/>
        </w:pBdr>
      </w:pPr>
    </w:p>
    <w:p>
      <w:pPr>
        <w:pStyle w:val="Heading1"/>
        <w:jc w:val="left"/>
      </w:pPr>
      <w:r>
        <w:rPr>
          <w:rFonts w:ascii="Calibri" w:hAnsi="Calibri"/>
          <w:color w:val="1F497D"/>
        </w:rPr>
        <w:t>3. Mistral 7B — Architectural Efficiency</w:t>
      </w:r>
    </w:p>
    <w:p>
      <w:pPr>
        <w:spacing w:after="120" w:before="40"/>
      </w:pPr>
      <w:r>
        <w:rPr>
          <w:rFonts w:ascii="Calibri" w:hAnsi="Calibri"/>
          <w:sz w:val="22"/>
        </w:rPr>
        <w:t>Released by Mistral AI in September 2023, Mistral 7B outperforms LLaMA-2 13B on most benchmarks despite having half the parameters. The gains come from two architectural innovations applied to the standard transformer block.</w:t>
      </w:r>
    </w:p>
    <w:p>
      <w:pPr>
        <w:pStyle w:val="Heading2"/>
        <w:jc w:val="left"/>
      </w:pPr>
      <w:r>
        <w:rPr>
          <w:rFonts w:ascii="Calibri" w:hAnsi="Calibri"/>
          <w:color w:val="1F497D"/>
        </w:rPr>
        <w:t>3.1  Grouped Query Attention (GQA)</w:t>
      </w:r>
    </w:p>
    <w:p>
      <w:pPr>
        <w:spacing w:after="120" w:before="40"/>
      </w:pPr>
      <w:r>
        <w:rPr>
          <w:rFonts w:ascii="Calibri" w:hAnsi="Calibri"/>
          <w:sz w:val="22"/>
        </w:rPr>
        <w:t>Standard multi-head attention (MHA) maintains one Key and Value head per Query head. For 32 attention heads this means caching 32 separate K/V tensors during inference — a memory bottleneck that dominates generation latency.</w:t>
      </w:r>
    </w:p>
    <w:p>
      <w:pPr>
        <w:spacing w:after="120" w:before="40"/>
      </w:pPr>
      <w:r>
        <w:rPr>
          <w:rFonts w:ascii="Calibri" w:hAnsi="Calibri"/>
          <w:sz w:val="22"/>
        </w:rPr>
        <w:t>**GQA** groups Q heads into G groups, each sharing a single K and V head. Mistral uses 8 Key/Value heads for 32 Query heads (4:1 ratio). This achieves:</w:t>
      </w:r>
    </w:p>
    <w:p>
      <w:pPr>
        <w:pStyle w:val="ListBullet"/>
        <w:spacing w:after="60" w:before="20"/>
        <w:ind w:left="432"/>
      </w:pPr>
      <w:r>
        <w:rPr>
          <w:rFonts w:ascii="Calibri" w:hAnsi="Calibri"/>
          <w:sz w:val="22"/>
        </w:rPr>
        <w:t>~4× reduction in KV-cache memory during inference</w:t>
      </w:r>
    </w:p>
    <w:p>
      <w:pPr>
        <w:pStyle w:val="ListBullet"/>
        <w:spacing w:after="60" w:before="20"/>
        <w:ind w:left="432"/>
      </w:pPr>
      <w:r>
        <w:rPr>
          <w:rFonts w:ascii="Calibri" w:hAnsi="Calibri"/>
          <w:sz w:val="22"/>
        </w:rPr>
        <w:t>Faster token generation (memory-bandwidth bound operations dominate)</w:t>
      </w:r>
    </w:p>
    <w:p>
      <w:pPr>
        <w:pStyle w:val="ListBullet"/>
        <w:spacing w:after="60" w:before="20"/>
        <w:ind w:left="432"/>
      </w:pPr>
      <w:r>
        <w:rPr>
          <w:rFonts w:ascii="Calibri" w:hAnsi="Calibri"/>
          <w:sz w:val="22"/>
        </w:rPr>
        <w:t>Minimal quality loss vs MHA at the same parameter count</w:t>
      </w:r>
    </w:p>
    <w:tbl>
      <w:tblPr>
        <w:tblW w:type="auto" w:w="0"/>
        <w:jc w:val="left"/>
        <w:tblLook w:firstColumn="1" w:firstRow="1" w:lastColumn="0" w:lastRow="0" w:noHBand="0" w:noVBand="1" w:val="04A0"/>
      </w:tblPr>
      <w:tblGrid>
        <w:gridCol w:w="8784"/>
      </w:tblGrid>
      <w:tr>
        <w:tc>
          <w:tcPr>
            <w:tcW w:type="dxa" w:w="8784"/>
            <w:shd w:val="clear" w:color="auto" w:fill="EEF6FB"/>
            <w:tcBorders>
              <w:left w:val="single" w:sz="18" w:space="0" w:color="2E86AB"/>
            </w:tcBorders>
          </w:tcPr>
          <w:p>
            <w:pPr>
              <w:spacing w:before="80" w:after="80"/>
            </w:pPr>
            <w:r>
              <w:rPr>
                <w:rFonts w:ascii="Calibri" w:hAnsi="Calibri"/>
                <w:b/>
                <w:color w:val="2E86AB"/>
                <w:sz w:val="21"/>
              </w:rPr>
              <w:t xml:space="preserve">Memory impact:  </w:t>
            </w:r>
            <w:r>
              <w:rPr>
                <w:rFonts w:ascii="Calibri" w:hAnsi="Calibri"/>
                <w:sz w:val="21"/>
              </w:rPr>
              <w:t>At batch size 1, seq len 4096, Mistral 7B KV-cache = 2 × 8 × 4096 × 128 × 2 bytes ≈ 1 GB vs 4 GB for MHA equivalent.</w:t>
            </w:r>
          </w:p>
        </w:tc>
      </w:tr>
    </w:tbl>
    <w:p>
      <w:pPr>
        <w:spacing w:after="80"/>
      </w:pPr>
    </w:p>
    <w:p>
      <w:pPr>
        <w:pStyle w:val="Heading2"/>
        <w:jc w:val="left"/>
      </w:pPr>
      <w:r>
        <w:rPr>
          <w:rFonts w:ascii="Calibri" w:hAnsi="Calibri"/>
          <w:color w:val="1F497D"/>
        </w:rPr>
        <w:t>3.2  Sliding Window Attention (SWA)</w:t>
      </w:r>
    </w:p>
    <w:p>
      <w:pPr>
        <w:spacing w:after="120" w:before="40"/>
      </w:pPr>
      <w:r>
        <w:rPr>
          <w:rFonts w:ascii="Calibri" w:hAnsi="Calibri"/>
          <w:sz w:val="22"/>
        </w:rPr>
        <w:t>Full self-attention over a context window of W tokens has O(W²) memory and compute. **Sliding Window Attention** restricts each token to attend only to the W_local most recent tokens (Mistral uses W_local = 4096) while still propagating information across longer contexts through layer stacking.</w:t>
      </w:r>
    </w:p>
    <w:p>
      <w:pPr>
        <w:spacing w:after="120" w:before="40"/>
      </w:pPr>
      <w:r>
        <w:rPr>
          <w:rFonts w:ascii="Calibri" w:hAnsi="Calibri"/>
          <w:sz w:val="22"/>
        </w:rPr>
        <w:t>With L transformer layers each of receptive field W_local, the effective context at the top layer is L × W_local. For Mistral's 32-layer model: 32 × 4,096 = 131,072 effective token reach. Attention complexity drops to O(W × W_local).</w:t>
      </w:r>
    </w:p>
    <w:p>
      <w:pPr>
        <w:spacing w:after="120" w:before="40"/>
      </w:pPr>
      <w:r>
        <w:rPr>
          <w:rFonts w:ascii="Calibri" w:hAnsi="Calibri"/>
          <w:sz w:val="22"/>
        </w:rPr>
        <w:t>At inference time Mistral uses a **rolling buffer KV-cache** of fixed size W_local, discarding entries older than W_local tokens. This enables constant-memory inference regardless of output length — critical for long generation tasks.</w:t>
      </w:r>
    </w:p>
    <w:p>
      <w:pPr>
        <w:pStyle w:val="Heading2"/>
        <w:jc w:val="left"/>
      </w:pPr>
      <w:r>
        <w:rPr>
          <w:rFonts w:ascii="Calibri" w:hAnsi="Calibri"/>
          <w:color w:val="1F497D"/>
        </w:rPr>
        <w:t>3.3  Training Details</w:t>
      </w:r>
    </w:p>
    <w:p>
      <w:pPr>
        <w:pStyle w:val="ListBullet"/>
        <w:spacing w:after="60" w:before="20"/>
        <w:ind w:left="432"/>
      </w:pPr>
      <w:r>
        <w:rPr>
          <w:rFonts w:ascii="Calibri" w:hAnsi="Calibri"/>
          <w:sz w:val="22"/>
        </w:rPr>
        <w:t>**Pre-training data:** ~1 trillion tokens, curated web + code + multilingual</w:t>
      </w:r>
    </w:p>
    <w:p>
      <w:pPr>
        <w:pStyle w:val="ListBullet"/>
        <w:spacing w:after="60" w:before="20"/>
        <w:ind w:left="432"/>
      </w:pPr>
      <w:r>
        <w:rPr>
          <w:rFonts w:ascii="Calibri" w:hAnsi="Calibri"/>
          <w:sz w:val="22"/>
        </w:rPr>
        <w:t>**Context length:** 8,192 tokens with SWA (extended from 4,096 via fine-tune)</w:t>
      </w:r>
    </w:p>
    <w:p>
      <w:pPr>
        <w:pStyle w:val="ListBullet"/>
        <w:spacing w:after="60" w:before="20"/>
        <w:ind w:left="432"/>
      </w:pPr>
      <w:r>
        <w:rPr>
          <w:rFonts w:ascii="Calibri" w:hAnsi="Calibri"/>
          <w:sz w:val="22"/>
        </w:rPr>
        <w:t>**Batch size:** ~4M tokens/step across ~1024 A100s</w:t>
      </w:r>
    </w:p>
    <w:p>
      <w:pPr>
        <w:pStyle w:val="ListBullet"/>
        <w:spacing w:after="60" w:before="20"/>
        <w:ind w:left="432"/>
      </w:pPr>
      <w:r>
        <w:rPr>
          <w:rFonts w:ascii="Calibri" w:hAnsi="Calibri"/>
          <w:sz w:val="22"/>
        </w:rPr>
        <w:t>**Tokeniser:** BPE, vocabulary 32,000 tokens</w:t>
      </w:r>
    </w:p>
    <w:p>
      <w:pPr>
        <w:pStyle w:val="ListBullet"/>
        <w:spacing w:after="60" w:before="20"/>
        <w:ind w:left="432"/>
      </w:pPr>
      <w:r>
        <w:rPr>
          <w:rFonts w:ascii="Calibri" w:hAnsi="Calibri"/>
          <w:sz w:val="22"/>
        </w:rPr>
        <w:t>**Flash Attention 2** used throughout for memory-efficient attention kernels</w:t>
      </w:r>
    </w:p>
    <w:p>
      <w:pPr>
        <w:pStyle w:val="ListBullet"/>
        <w:spacing w:after="60" w:before="20"/>
        <w:ind w:left="432"/>
      </w:pPr>
      <w:r>
        <w:rPr>
          <w:rFonts w:ascii="Calibri" w:hAnsi="Calibri"/>
          <w:sz w:val="22"/>
        </w:rPr>
        <w:t>**Instruction tuning:** Mistral Instruct released via supervised fine-tuning on instruction datasets + DPO</w:t>
      </w:r>
    </w:p>
    <w:p>
      <w:pPr>
        <w:spacing w:before="80" w:after="80"/>
        <w:pBdr>
          <w:bottom w:val="single" w:sz="6" w:space="1" w:color="2E86AB"/>
        </w:pBdr>
      </w:pPr>
    </w:p>
    <w:p>
      <w:pPr>
        <w:pStyle w:val="Heading1"/>
        <w:jc w:val="left"/>
      </w:pPr>
      <w:r>
        <w:rPr>
          <w:rFonts w:ascii="Calibri" w:hAnsi="Calibri"/>
          <w:color w:val="1F497D"/>
        </w:rPr>
        <w:t>4. Mixture of Experts (MoE) — Scaling Without Full Compute</w:t>
      </w:r>
    </w:p>
    <w:p>
      <w:pPr>
        <w:spacing w:after="120" w:before="40"/>
      </w:pPr>
      <w:r>
        <w:rPr>
          <w:rFonts w:ascii="Calibri" w:hAnsi="Calibri"/>
          <w:sz w:val="22"/>
        </w:rPr>
        <w:t>Mixture-of-Experts replaces the dense Feed-Forward Network (FFN) in each transformer block with a set of E parallel expert FFNs and a learned routing function that activates only K of them per token. The flagship example is **Mixtral 8×7B** (Mistral AI, December 2023).</w:t>
      </w:r>
    </w:p>
    <w:p>
      <w:pPr>
        <w:pStyle w:val="Heading2"/>
        <w:jc w:val="left"/>
      </w:pPr>
      <w:r>
        <w:rPr>
          <w:rFonts w:ascii="Calibri" w:hAnsi="Calibri"/>
          <w:color w:val="1F497D"/>
        </w:rPr>
        <w:t>4.1  Architecture</w:t>
      </w:r>
    </w:p>
    <w:p>
      <w:pPr>
        <w:spacing w:after="120" w:before="40"/>
      </w:pPr>
      <w:r>
        <w:rPr>
          <w:rFonts w:ascii="Calibri" w:hAnsi="Calibri"/>
          <w:sz w:val="22"/>
        </w:rPr>
        <w:t>Each transformer layer in Mixtral has 8 expert FFNs, each identical in architecture to a standard FFN (dimension 4096→14336→4096 with SwiGLU). The **router** is a linear layer: given token hidden state h, it produces logit scores for all 8 experts and selects the top-2 by score. The token representation is updated as:</w:t>
      </w:r>
    </w:p>
    <w:p>
      <w:pPr>
        <w:spacing w:after="160"/>
        <w:jc w:val="center"/>
      </w:pPr>
      <w:r>
        <w:rPr>
          <w:rFonts w:ascii="Courier New" w:hAnsi="Courier New"/>
          <w:color w:val="1F497D"/>
          <w:sz w:val="24"/>
        </w:rPr>
        <w:t>output = Σᵢ∈TopK  softmax(router(h))ᵢ  ×  FFNᵢ(h)</w:t>
      </w:r>
    </w:p>
    <w:p>
      <w:pPr>
        <w:spacing w:after="120" w:before="40"/>
      </w:pPr>
      <w:r>
        <w:rPr>
          <w:rFonts w:ascii="Calibri" w:hAnsi="Calibri"/>
          <w:sz w:val="22"/>
        </w:rPr>
        <w:t>With 8 experts and top-2 routing, only 2/8 = 25% of FFN parameters are active per token. Mixtral 8×7B has 46.7B total parameters but only ~12.9B **active** parameters per forward pass — matching a dense 13B model in compute cost while having the capacity of a 46.7B model.</w:t>
      </w:r>
    </w:p>
    <w:p>
      <w:pPr>
        <w:pStyle w:val="Heading2"/>
        <w:jc w:val="left"/>
      </w:pPr>
      <w:r>
        <w:rPr>
          <w:rFonts w:ascii="Calibri" w:hAnsi="Calibri"/>
          <w:color w:val="1F497D"/>
        </w:rPr>
        <w:t>4.2  Training the Router</w:t>
      </w:r>
    </w:p>
    <w:p>
      <w:pPr>
        <w:spacing w:after="120" w:before="40"/>
      </w:pPr>
      <w:r>
        <w:rPr>
          <w:rFonts w:ascii="Calibri" w:hAnsi="Calibri"/>
          <w:sz w:val="22"/>
        </w:rPr>
        <w:t>Naively, a routing function collapses to always selecting the same K experts ('expert collapse'), leaving most experts untrained. Two mechanisms prevent this:</w:t>
      </w:r>
    </w:p>
    <w:p>
      <w:pPr>
        <w:pStyle w:val="ListBullet"/>
        <w:spacing w:after="60" w:before="20"/>
        <w:ind w:left="432"/>
      </w:pPr>
      <w:r>
        <w:rPr>
          <w:rFonts w:ascii="Calibri" w:hAnsi="Calibri"/>
          <w:b/>
          <w:sz w:val="22"/>
        </w:rPr>
        <w:t xml:space="preserve">An additional loss term penalises imbalanced routing. Let fᵢ be the fraction of tokens routed to expert i and Pᵢ the mean router probability for expert i. The auxiliary loss = α × E × Σᵢ fᵢ × Pᵢ encourages uniform utilisation. α ≈ 0.01 in Mixtral. </w:t>
      </w:r>
      <w:r>
        <w:rPr>
          <w:rFonts w:ascii="Calibri" w:hAnsi="Calibri"/>
          <w:sz w:val="22"/>
        </w:rPr>
        <w:t>**Auxiliary load-balancing loss:**</w:t>
      </w:r>
    </w:p>
    <w:p>
      <w:pPr>
        <w:pStyle w:val="ListBullet"/>
        <w:spacing w:after="60" w:before="20"/>
        <w:ind w:left="432"/>
      </w:pPr>
      <w:r>
        <w:rPr>
          <w:rFonts w:ascii="Calibri" w:hAnsi="Calibri"/>
          <w:b/>
          <w:sz w:val="22"/>
        </w:rPr>
        <w:t xml:space="preserve">Mixtral uses token-choice (each token picks its top-K experts). An alternative, expert-choice routing (each expert selects its top-T tokens), guarantees perfect load balance but can drop tokens — less suitable for generation. </w:t>
      </w:r>
      <w:r>
        <w:rPr>
          <w:rFonts w:ascii="Calibri" w:hAnsi="Calibri"/>
          <w:sz w:val="22"/>
        </w:rPr>
        <w:t>**Token-choice vs Expert-choice routing:**</w:t>
      </w:r>
    </w:p>
    <w:p>
      <w:pPr>
        <w:pStyle w:val="ListBullet"/>
        <w:spacing w:after="60" w:before="20"/>
        <w:ind w:left="432"/>
      </w:pPr>
      <w:r>
        <w:rPr>
          <w:rFonts w:ascii="Calibri" w:hAnsi="Calibri"/>
          <w:b/>
          <w:sz w:val="22"/>
        </w:rPr>
        <w:t xml:space="preserve">Each expert has a capacity C = (tokens/batch) × K / E × capacity_factor. Tokens routed to a full expert are passed through as residual (no FFN processing), preventing deadlock while tolerating mild imbalance. </w:t>
      </w:r>
      <w:r>
        <w:rPr>
          <w:rFonts w:ascii="Calibri" w:hAnsi="Calibri"/>
          <w:sz w:val="22"/>
        </w:rPr>
        <w:t>**Expert capacity buffer:**</w:t>
      </w:r>
    </w:p>
    <w:p>
      <w:pPr>
        <w:pStyle w:val="Heading2"/>
        <w:jc w:val="left"/>
      </w:pPr>
      <w:r>
        <w:rPr>
          <w:rFonts w:ascii="Calibri" w:hAnsi="Calibri"/>
          <w:color w:val="1F497D"/>
        </w:rPr>
        <w:t>4.3  Infrastructure for MoE Training</w:t>
      </w:r>
    </w:p>
    <w:p>
      <w:pPr>
        <w:spacing w:after="120" w:before="40"/>
      </w:pPr>
      <w:r>
        <w:rPr>
          <w:rFonts w:ascii="Calibri" w:hAnsi="Calibri"/>
          <w:sz w:val="22"/>
        </w:rPr>
        <w:t>MoE training requires **Expert Parallelism (EP)** in addition to standard data and tensor parallelism. Experts are distributed across devices; during the forward pass, tokens are dispatched to the device hosting their selected expert via all-to-all communication. This introduces:</w:t>
      </w:r>
    </w:p>
    <w:p>
      <w:pPr>
        <w:pStyle w:val="ListBullet"/>
        <w:spacing w:after="60" w:before="20"/>
        <w:ind w:left="432"/>
      </w:pPr>
      <w:r>
        <w:rPr>
          <w:rFonts w:ascii="Calibri" w:hAnsi="Calibri"/>
          <w:sz w:val="22"/>
        </w:rPr>
        <w:t>All-to-all communication overhead (amortised across batch size)</w:t>
      </w:r>
    </w:p>
    <w:p>
      <w:pPr>
        <w:pStyle w:val="ListBullet"/>
        <w:spacing w:after="60" w:before="20"/>
        <w:ind w:left="432"/>
      </w:pPr>
      <w:r>
        <w:rPr>
          <w:rFonts w:ascii="Calibri" w:hAnsi="Calibri"/>
          <w:sz w:val="22"/>
        </w:rPr>
        <w:t>Load imbalance risk (mitigated by auxiliary loss)</w:t>
      </w:r>
    </w:p>
    <w:p>
      <w:pPr>
        <w:pStyle w:val="ListBullet"/>
        <w:spacing w:after="60" w:before="20"/>
        <w:ind w:left="432"/>
      </w:pPr>
      <w:r>
        <w:rPr>
          <w:rFonts w:ascii="Calibri" w:hAnsi="Calibri"/>
          <w:sz w:val="22"/>
        </w:rPr>
        <w:t>Increased memory footprint — all expert parameters must be loaded even if most are idle for a given batch</w:t>
      </w:r>
    </w:p>
    <w:tbl>
      <w:tblPr>
        <w:tblW w:type="auto" w:w="0"/>
        <w:jc w:val="left"/>
        <w:tblLook w:firstColumn="1" w:firstRow="1" w:lastColumn="0" w:lastRow="0" w:noHBand="0" w:noVBand="1" w:val="04A0"/>
      </w:tblPr>
      <w:tblGrid>
        <w:gridCol w:w="8784"/>
      </w:tblGrid>
      <w:tr>
        <w:tc>
          <w:tcPr>
            <w:tcW w:type="dxa" w:w="8784"/>
            <w:shd w:val="clear" w:color="auto" w:fill="EEF6FB"/>
            <w:tcBorders>
              <w:left w:val="single" w:sz="18" w:space="0" w:color="2E86AB"/>
            </w:tcBorders>
          </w:tcPr>
          <w:p>
            <w:pPr>
              <w:spacing w:before="80" w:after="80"/>
            </w:pPr>
            <w:r>
              <w:rPr>
                <w:rFonts w:ascii="Calibri" w:hAnsi="Calibri"/>
                <w:b/>
                <w:color w:val="2E86AB"/>
                <w:sz w:val="21"/>
              </w:rPr>
              <w:t xml:space="preserve">Mixtral 8×7B training:  </w:t>
            </w:r>
            <w:r>
              <w:rPr>
                <w:rFonts w:ascii="Calibri" w:hAnsi="Calibri"/>
                <w:sz w:val="21"/>
              </w:rPr>
              <w:t>Trained on ~1T tokens across ~512 H100 GPUs using EP=8 (one expert group per GPU), DP=64 replicas, with ZeRO-1 for optimiser state sharding.</w:t>
            </w:r>
          </w:p>
        </w:tc>
      </w:tr>
    </w:tbl>
    <w:p>
      <w:pPr>
        <w:spacing w:after="80"/>
      </w:pPr>
    </w:p>
    <w:p>
      <w:pPr>
        <w:pStyle w:val="Heading2"/>
        <w:jc w:val="left"/>
      </w:pPr>
      <w:r>
        <w:rPr>
          <w:rFonts w:ascii="Calibri" w:hAnsi="Calibri"/>
          <w:color w:val="1F497D"/>
        </w:rPr>
        <w:t>4.4  Inference Efficiency</w:t>
      </w:r>
    </w:p>
    <w:p>
      <w:pPr>
        <w:spacing w:after="120" w:before="40"/>
      </w:pPr>
      <w:r>
        <w:rPr>
          <w:rFonts w:ascii="Calibri" w:hAnsi="Calibri"/>
          <w:sz w:val="22"/>
        </w:rPr>
        <w:t>At inference, all 46.7B parameters must fit in memory (or be offloaded), but only 12.9B are active per token. This creates an unusual cost profile:</w:t>
      </w:r>
    </w:p>
    <w:p>
      <w:pPr>
        <w:pStyle w:val="ListBullet"/>
        <w:spacing w:after="60" w:before="20"/>
        <w:ind w:left="432"/>
      </w:pPr>
      <w:r>
        <w:rPr>
          <w:rFonts w:ascii="Calibri" w:hAnsi="Calibri"/>
          <w:sz w:val="22"/>
        </w:rPr>
        <w:t>**Memory-bound:** All 46.7B params must be in VRAM/unified memory (≈90GB in BF16)</w:t>
      </w:r>
    </w:p>
    <w:p>
      <w:pPr>
        <w:pStyle w:val="ListBullet"/>
        <w:spacing w:after="60" w:before="20"/>
        <w:ind w:left="432"/>
      </w:pPr>
      <w:r>
        <w:rPr>
          <w:rFonts w:ascii="Calibri" w:hAnsi="Calibri"/>
          <w:sz w:val="22"/>
        </w:rPr>
        <w:t>**Compute-efficient:** FLOPs per token match a ~13B dense model</w:t>
      </w:r>
    </w:p>
    <w:p>
      <w:pPr>
        <w:pStyle w:val="ListBullet"/>
        <w:spacing w:after="60" w:before="20"/>
        <w:ind w:left="432"/>
      </w:pPr>
      <w:r>
        <w:rPr>
          <w:rFonts w:ascii="Calibri" w:hAnsi="Calibri"/>
          <w:sz w:val="22"/>
        </w:rPr>
        <w:t>**Batching helps:** With larger batch sizes, different experts are utilised simultaneously, improving GPU utilisation</w:t>
      </w:r>
    </w:p>
    <w:p>
      <w:pPr>
        <w:spacing w:before="80" w:after="80"/>
        <w:pBdr>
          <w:bottom w:val="single" w:sz="6" w:space="1" w:color="2E86AB"/>
        </w:pBdr>
      </w:pPr>
    </w:p>
    <w:p>
      <w:pPr>
        <w:pStyle w:val="Heading1"/>
        <w:jc w:val="left"/>
      </w:pPr>
      <w:r>
        <w:rPr>
          <w:rFonts w:ascii="Calibri" w:hAnsi="Calibri"/>
          <w:color w:val="1F497D"/>
        </w:rPr>
        <w:t>5. LLaMA Pro — Block Expansion for Continual Learning</w:t>
      </w:r>
    </w:p>
    <w:p>
      <w:pPr>
        <w:spacing w:after="120" w:before="40"/>
      </w:pPr>
      <w:r>
        <w:rPr>
          <w:rFonts w:ascii="Calibri" w:hAnsi="Calibri"/>
          <w:sz w:val="22"/>
        </w:rPr>
        <w:t>Proposed by TencentARC (Wu et al., 2024), **LLaMA Pro** addresses a core challenge in LLM adaptation: how to inject new domain knowledge without catastrophic forgetting of the original pre-trained knowledge.</w:t>
      </w:r>
    </w:p>
    <w:p>
      <w:pPr>
        <w:pStyle w:val="Heading2"/>
        <w:jc w:val="left"/>
      </w:pPr>
      <w:r>
        <w:rPr>
          <w:rFonts w:ascii="Calibri" w:hAnsi="Calibri"/>
          <w:color w:val="1F497D"/>
        </w:rPr>
        <w:t>5.1  The Problem: Catastrophic Forgetting</w:t>
      </w:r>
    </w:p>
    <w:p>
      <w:pPr>
        <w:spacing w:after="120" w:before="40"/>
      </w:pPr>
      <w:r>
        <w:rPr>
          <w:rFonts w:ascii="Calibri" w:hAnsi="Calibri"/>
          <w:sz w:val="22"/>
        </w:rPr>
        <w:t>When a pre-trained LLM is fine-tuned on a new domain (e.g., code, medicine, law), standard gradient updates overwrite the weights that encoded general language knowledge. This is catastrophic forgetting — the model gains domain skill but loses general capability. The LLaMA Pro method solves this by structural expansion rather than in-place weight modification.</w:t>
      </w:r>
    </w:p>
    <w:p>
      <w:pPr>
        <w:pStyle w:val="Heading2"/>
        <w:jc w:val="left"/>
      </w:pPr>
      <w:r>
        <w:rPr>
          <w:rFonts w:ascii="Calibri" w:hAnsi="Calibri"/>
          <w:color w:val="1F497D"/>
        </w:rPr>
        <w:t>5.2  Block Expansion Mechanism</w:t>
      </w:r>
    </w:p>
    <w:p>
      <w:pPr>
        <w:spacing w:after="120" w:before="40"/>
      </w:pPr>
      <w:r>
        <w:rPr>
          <w:rFonts w:ascii="Calibri" w:hAnsi="Calibri"/>
          <w:sz w:val="22"/>
        </w:rPr>
        <w:t>The core idea: insert new transformer blocks into the existing frozen model at regular intervals, initialised as identity functions. Only the new blocks are trained.</w:t>
      </w:r>
    </w:p>
    <w:p>
      <w:pPr>
        <w:spacing w:after="120" w:before="40"/>
      </w:pPr>
      <w:r>
        <w:rPr>
          <w:rFonts w:ascii="Calibri" w:hAnsi="Calibri"/>
          <w:sz w:val="22"/>
        </w:rPr>
        <w:t>The initialisation ensures zero perturbation at the start of training:</w:t>
      </w:r>
    </w:p>
    <w:p>
      <w:pPr>
        <w:pStyle w:val="ListBullet"/>
        <w:spacing w:after="60" w:before="20"/>
        <w:ind w:left="432"/>
      </w:pPr>
      <w:r>
        <w:rPr>
          <w:rFonts w:ascii="Calibri" w:hAnsi="Calibri"/>
          <w:sz w:val="22"/>
        </w:rPr>
        <w:t>Copy all weights from an existing block (attention + FFN + norms) into the new block</w:t>
      </w:r>
    </w:p>
    <w:p>
      <w:pPr>
        <w:pStyle w:val="ListBullet"/>
        <w:spacing w:after="60" w:before="20"/>
        <w:ind w:left="432"/>
      </w:pPr>
      <w:r>
        <w:rPr>
          <w:rFonts w:ascii="Calibri" w:hAnsi="Calibri"/>
          <w:sz w:val="22"/>
        </w:rPr>
        <w:t>**Zero-initialise the output projection** of the attention and FFN in the new block</w:t>
      </w:r>
    </w:p>
    <w:p>
      <w:pPr>
        <w:pStyle w:val="ListBullet"/>
        <w:spacing w:after="60" w:before="20"/>
        <w:ind w:left="432"/>
      </w:pPr>
      <w:r>
        <w:rPr>
          <w:rFonts w:ascii="Calibri" w:hAnsi="Calibri"/>
          <w:sz w:val="22"/>
        </w:rPr>
        <w:t>Result: new block computes f(x) = x (identity) at initialisation — the model output is unchanged</w:t>
      </w:r>
    </w:p>
    <w:p>
      <w:pPr>
        <w:pStyle w:val="ListBullet"/>
        <w:spacing w:after="60" w:before="20"/>
        <w:ind w:left="432"/>
      </w:pPr>
      <w:r>
        <w:rPr>
          <w:rFonts w:ascii="Calibri" w:hAnsi="Calibri"/>
          <w:sz w:val="22"/>
        </w:rPr>
        <w:t>Training signal then gradually sculpts the new blocks toward domain-specific representations</w:t>
      </w:r>
    </w:p>
    <w:p>
      <w:pPr>
        <w:spacing w:after="120" w:before="40"/>
      </w:pPr>
      <w:r>
        <w:rPr>
          <w:rFonts w:ascii="Calibri" w:hAnsi="Calibri"/>
          <w:sz w:val="22"/>
        </w:rPr>
        <w:t>For a model with L original blocks, LLaMA Pro inserts M new blocks evenly distributed throughout the stack (e.g., one new block every L/M blocks). The expanded model has L + M blocks total, with L frozen and M trainable.</w:t>
      </w:r>
    </w:p>
    <w:tbl>
      <w:tblPr>
        <w:tblW w:type="auto" w:w="0"/>
        <w:jc w:val="left"/>
        <w:tblLook w:firstColumn="1" w:firstRow="1" w:lastColumn="0" w:lastRow="0" w:noHBand="0" w:noVBand="1" w:val="04A0"/>
      </w:tblPr>
      <w:tblGrid>
        <w:gridCol w:w="8784"/>
      </w:tblGrid>
      <w:tr>
        <w:tc>
          <w:tcPr>
            <w:tcW w:type="dxa" w:w="8784"/>
            <w:shd w:val="clear" w:color="auto" w:fill="EEF6FB"/>
            <w:tcBorders>
              <w:left w:val="single" w:sz="18" w:space="0" w:color="2E86AB"/>
            </w:tcBorders>
          </w:tcPr>
          <w:p>
            <w:pPr>
              <w:spacing w:before="80" w:after="80"/>
            </w:pPr>
            <w:r>
              <w:rPr>
                <w:rFonts w:ascii="Calibri" w:hAnsi="Calibri"/>
                <w:b/>
                <w:color w:val="2E86AB"/>
                <w:sz w:val="21"/>
              </w:rPr>
              <w:t xml:space="preserve">Example:  </w:t>
            </w:r>
            <w:r>
              <w:rPr>
                <w:rFonts w:ascii="Calibri" w:hAnsi="Calibri"/>
                <w:sz w:val="21"/>
              </w:rPr>
              <w:t>LLaMA-2 7B has 32 transformer blocks. LLaMA Pro expands to 40 blocks by inserting 8 new zero-init blocks (every 4th position). Only the 8 new blocks (~1.6B params) are trained on code data; the original 32 blocks remain frozen.</w:t>
            </w:r>
          </w:p>
        </w:tc>
      </w:tr>
    </w:tbl>
    <w:p>
      <w:pPr>
        <w:spacing w:after="80"/>
      </w:pPr>
    </w:p>
    <w:p>
      <w:pPr>
        <w:pStyle w:val="Heading2"/>
        <w:jc w:val="left"/>
      </w:pPr>
      <w:r>
        <w:rPr>
          <w:rFonts w:ascii="Calibri" w:hAnsi="Calibri"/>
          <w:color w:val="1F497D"/>
        </w:rPr>
        <w:t>5.3  Training Protocol</w:t>
      </w:r>
    </w:p>
    <w:p>
      <w:pPr>
        <w:pStyle w:val="ListBullet"/>
        <w:spacing w:after="60" w:before="20"/>
        <w:ind w:left="432"/>
      </w:pPr>
      <w:r>
        <w:rPr>
          <w:rFonts w:ascii="Calibri" w:hAnsi="Calibri"/>
          <w:sz w:val="22"/>
        </w:rPr>
        <w:t>**Stage 1 — Expansion training:** Train only new blocks on domain corpus (code, medical, etc.) for ~200B tokens</w:t>
      </w:r>
    </w:p>
    <w:p>
      <w:pPr>
        <w:pStyle w:val="ListBullet"/>
        <w:spacing w:after="60" w:before="20"/>
        <w:ind w:left="432"/>
      </w:pPr>
      <w:r>
        <w:rPr>
          <w:rFonts w:ascii="Calibri" w:hAnsi="Calibri"/>
          <w:sz w:val="22"/>
        </w:rPr>
        <w:t>**Stage 2 — Instruction tuning:** Full fine-tune (all blocks) on instruction-response pairs to align the expanded model</w:t>
      </w:r>
    </w:p>
    <w:p>
      <w:pPr>
        <w:pStyle w:val="ListBullet"/>
        <w:spacing w:after="60" w:before="20"/>
        <w:ind w:left="432"/>
      </w:pPr>
      <w:r>
        <w:rPr>
          <w:rFonts w:ascii="Calibri" w:hAnsi="Calibri"/>
          <w:sz w:val="22"/>
        </w:rPr>
        <w:t>**Learning rate:** Typically 2e-5 with cosine decay; new blocks may use higher LR than frozen blocks during joint fine-tune</w:t>
      </w:r>
    </w:p>
    <w:p>
      <w:pPr>
        <w:pStyle w:val="ListBullet"/>
        <w:spacing w:after="60" w:before="20"/>
        <w:ind w:left="432"/>
      </w:pPr>
      <w:r>
        <w:rPr>
          <w:rFonts w:ascii="Calibri" w:hAnsi="Calibri"/>
          <w:sz w:val="22"/>
        </w:rPr>
        <w:t>**Data mixing:** During Stage 2, a fraction of general instruction data is mixed in to preserve general-purpose capability</w:t>
      </w:r>
    </w:p>
    <w:p>
      <w:pPr>
        <w:pStyle w:val="Heading2"/>
        <w:jc w:val="left"/>
      </w:pPr>
      <w:r>
        <w:rPr>
          <w:rFonts w:ascii="Calibri" w:hAnsi="Calibri"/>
          <w:color w:val="1F497D"/>
        </w:rPr>
        <w:t>5.4  Why It Works</w:t>
      </w:r>
    </w:p>
    <w:p>
      <w:pPr>
        <w:spacing w:after="120" w:before="40"/>
      </w:pPr>
      <w:r>
        <w:rPr>
          <w:rFonts w:ascii="Calibri" w:hAnsi="Calibri"/>
          <w:sz w:val="22"/>
        </w:rPr>
        <w:t>The identity initialisation gives new blocks a 'blank slate' that is structurally connected to the existing representation flow. The frozen original blocks preserve the base model's knowledge exactly — no gradient flows through them. New blocks learn residual transformations that enrich the representation without corrupting it. This is analogous to adding new neurons in the residual stream without modifying existing ones.</w:t>
      </w:r>
    </w:p>
    <w:p>
      <w:pPr>
        <w:spacing w:before="80" w:after="80"/>
        <w:pBdr>
          <w:bottom w:val="single" w:sz="6" w:space="1" w:color="2E86AB"/>
        </w:pBdr>
      </w:pPr>
    </w:p>
    <w:p>
      <w:pPr>
        <w:pStyle w:val="Heading1"/>
        <w:jc w:val="left"/>
      </w:pPr>
      <w:r>
        <w:rPr>
          <w:rFonts w:ascii="Calibri" w:hAnsi="Calibri"/>
          <w:color w:val="1F497D"/>
        </w:rPr>
        <w:t>6. Post-Training: SFT, RLHF, and DPO</w:t>
      </w:r>
    </w:p>
    <w:p>
      <w:pPr>
        <w:spacing w:after="120" w:before="40"/>
      </w:pPr>
      <w:r>
        <w:rPr>
          <w:rFonts w:ascii="Calibri" w:hAnsi="Calibri"/>
          <w:sz w:val="22"/>
        </w:rPr>
        <w:t>Pre-training produces a base model that completes text statistically. Alignment training makes it follow instructions, refuse harmful requests, and match human preferences. All three model families go through some form of post-training.</w:t>
      </w:r>
    </w:p>
    <w:p>
      <w:pPr>
        <w:pStyle w:val="Heading2"/>
        <w:jc w:val="left"/>
      </w:pPr>
      <w:r>
        <w:rPr>
          <w:rFonts w:ascii="Calibri" w:hAnsi="Calibri"/>
          <w:color w:val="1F497D"/>
        </w:rPr>
        <w:t>6.1  Supervised Fine-Tuning (SFT)</w:t>
      </w:r>
    </w:p>
    <w:p>
      <w:pPr>
        <w:spacing w:after="120" w:before="40"/>
      </w:pPr>
      <w:r>
        <w:rPr>
          <w:rFonts w:ascii="Calibri" w:hAnsi="Calibri"/>
          <w:sz w:val="22"/>
        </w:rPr>
        <w:t>The pre-trained model is fine-tuned on a curated dataset of (instruction, response) pairs using standard cross-entropy loss, masking the instruction tokens (loss only on the response). High-quality SFT data (10k–500k examples) matters more than quantity.</w:t>
      </w:r>
    </w:p>
    <w:p>
      <w:pPr>
        <w:pStyle w:val="Heading2"/>
        <w:jc w:val="left"/>
      </w:pPr>
      <w:r>
        <w:rPr>
          <w:rFonts w:ascii="Calibri" w:hAnsi="Calibri"/>
          <w:color w:val="1F497D"/>
        </w:rPr>
        <w:t>6.2  RLHF — Reinforcement Learning from Human Feedback</w:t>
      </w:r>
    </w:p>
    <w:p>
      <w:pPr>
        <w:spacing w:after="120" w:before="40"/>
      </w:pPr>
      <w:r>
        <w:rPr>
          <w:rFonts w:ascii="Calibri" w:hAnsi="Calibri"/>
          <w:sz w:val="22"/>
        </w:rPr>
        <w:t>RLHF adds a human preference signal on top of SFT:</w:t>
      </w:r>
    </w:p>
    <w:p>
      <w:pPr>
        <w:pStyle w:val="ListBullet"/>
        <w:spacing w:after="60" w:before="20"/>
        <w:ind w:left="432"/>
      </w:pPr>
      <w:r>
        <w:rPr>
          <w:rFonts w:ascii="Calibri" w:hAnsi="Calibri"/>
          <w:sz w:val="22"/>
        </w:rPr>
        <w:t>**Reward model training:** Collect pairs of model responses rated by humans; train a Bradley-Terry reward model R(x, y) on preference comparisons</w:t>
      </w:r>
    </w:p>
    <w:p>
      <w:pPr>
        <w:pStyle w:val="ListBullet"/>
        <w:spacing w:after="60" w:before="20"/>
        <w:ind w:left="432"/>
      </w:pPr>
      <w:r>
        <w:rPr>
          <w:rFonts w:ascii="Calibri" w:hAnsi="Calibri"/>
          <w:sz w:val="22"/>
        </w:rPr>
        <w:t>**PPO fine-tuning:** Use Proximal Policy Optimisation to maximise E[R(x, y)] - β × KL(π || π_ref), where β penalises deviation from the SFT policy to prevent reward hacking</w:t>
      </w:r>
    </w:p>
    <w:p>
      <w:pPr>
        <w:pStyle w:val="ListBullet"/>
        <w:spacing w:after="60" w:before="20"/>
        <w:ind w:left="432"/>
      </w:pPr>
      <w:r>
        <w:rPr>
          <w:rFonts w:ascii="Calibri" w:hAnsi="Calibri"/>
          <w:sz w:val="22"/>
        </w:rPr>
        <w:t>**Iterative:** Multiple rounds of human annotation + RL improve alignment progressively</w:t>
      </w:r>
    </w:p>
    <w:p>
      <w:pPr>
        <w:pStyle w:val="Heading2"/>
        <w:jc w:val="left"/>
      </w:pPr>
      <w:r>
        <w:rPr>
          <w:rFonts w:ascii="Calibri" w:hAnsi="Calibri"/>
          <w:color w:val="1F497D"/>
        </w:rPr>
        <w:t>6.3  DPO — Direct Preference Optimisation</w:t>
      </w:r>
    </w:p>
    <w:p>
      <w:pPr>
        <w:spacing w:after="120" w:before="40"/>
      </w:pPr>
      <w:r>
        <w:rPr>
          <w:rFonts w:ascii="Calibri" w:hAnsi="Calibri"/>
          <w:sz w:val="22"/>
        </w:rPr>
        <w:t>DPO (Rafailov et al., 2023) removes the reward model entirely. It optimises the LLM directly on preference pairs (y_w preferred over y_l) using a closed-form objective derived from the RLHF optimality conditions:</w:t>
      </w:r>
    </w:p>
    <w:p>
      <w:pPr>
        <w:spacing w:after="160"/>
        <w:jc w:val="center"/>
      </w:pPr>
      <w:r>
        <w:rPr>
          <w:rFonts w:ascii="Courier New" w:hAnsi="Courier New"/>
          <w:color w:val="1F497D"/>
          <w:sz w:val="22"/>
        </w:rPr>
        <w:t>L_DPO = -E[ log σ( β log(π(y_w|x)/π_ref(y_w|x)) - β log(π(y_l|x)/π_ref(y_l|x)) ) ]</w:t>
      </w:r>
    </w:p>
    <w:p>
      <w:pPr>
        <w:spacing w:after="120" w:before="40"/>
      </w:pPr>
      <w:r>
        <w:rPr>
          <w:rFonts w:ascii="Calibri" w:hAnsi="Calibri"/>
          <w:sz w:val="22"/>
        </w:rPr>
        <w:t>DPO is simpler to train (no RL loop, no reward model), more stable, and achieves comparable alignment to RLHF. Mistral Instruct and many LLaMA variants use DPO as their primary alignment method.</w:t>
      </w:r>
    </w:p>
    <w:p>
      <w:pPr>
        <w:spacing w:before="80" w:after="80"/>
        <w:pBdr>
          <w:bottom w:val="single" w:sz="6" w:space="1" w:color="2E86AB"/>
        </w:pBdr>
      </w:pPr>
    </w:p>
    <w:p>
      <w:pPr>
        <w:pStyle w:val="Heading1"/>
        <w:jc w:val="left"/>
      </w:pPr>
      <w:r>
        <w:rPr>
          <w:rFonts w:ascii="Calibri" w:hAnsi="Calibri"/>
          <w:color w:val="1F497D"/>
        </w:rPr>
        <w:t>7. Parameter-Efficient Fine-Tuning (PEFT)</w:t>
      </w:r>
    </w:p>
    <w:p>
      <w:pPr>
        <w:spacing w:after="120" w:before="40"/>
      </w:pPr>
      <w:r>
        <w:rPr>
          <w:rFonts w:ascii="Calibri" w:hAnsi="Calibri"/>
          <w:sz w:val="22"/>
        </w:rPr>
        <w:t>Full fine-tuning of a 7B+ model requires ~28 GB of VRAM for weights alone plus optimiser states. PEFT methods train a tiny fraction of parameters while keeping the base model frozen, enabling adaptation on consumer hardware.</w:t>
      </w:r>
    </w:p>
    <w:p>
      <w:pPr>
        <w:pStyle w:val="Heading2"/>
        <w:jc w:val="left"/>
      </w:pPr>
      <w:r>
        <w:rPr>
          <w:rFonts w:ascii="Calibri" w:hAnsi="Calibri"/>
          <w:color w:val="1F497D"/>
        </w:rPr>
        <w:t>7.1  LoRA — Low-Rank Adaptation</w:t>
      </w:r>
    </w:p>
    <w:p>
      <w:pPr>
        <w:spacing w:after="120" w:before="40"/>
      </w:pPr>
      <w:r>
        <w:rPr>
          <w:rFonts w:ascii="Calibri" w:hAnsi="Calibri"/>
          <w:sz w:val="22"/>
        </w:rPr>
        <w:t>For a frozen weight matrix W ∈ ℝ^(d×k), LoRA adds a low-rank update: W' = W + BA where B ∈ ℝ^(d×r), A ∈ ℝ^(r×k), rank r ≪ min(d, k). Only A and B are trained. B is initialised to zero so ΔW = 0 at the start.</w:t>
      </w:r>
    </w:p>
    <w:p>
      <w:pPr>
        <w:pStyle w:val="ListBullet"/>
        <w:spacing w:after="60" w:before="20"/>
        <w:ind w:left="432"/>
      </w:pPr>
      <w:r>
        <w:rPr>
          <w:rFonts w:ascii="Calibri" w:hAnsi="Calibri"/>
          <w:sz w:val="22"/>
        </w:rPr>
        <w:t>Typical rank r = 4–64 (vs k = 4096+ for most layers)</w:t>
      </w:r>
    </w:p>
    <w:p>
      <w:pPr>
        <w:pStyle w:val="ListBullet"/>
        <w:spacing w:after="60" w:before="20"/>
        <w:ind w:left="432"/>
      </w:pPr>
      <w:r>
        <w:rPr>
          <w:rFonts w:ascii="Calibri" w:hAnsi="Calibri"/>
          <w:sz w:val="22"/>
        </w:rPr>
        <w:t>Trainable params ≈ 0.1–1% of full model</w:t>
      </w:r>
    </w:p>
    <w:p>
      <w:pPr>
        <w:pStyle w:val="ListBullet"/>
        <w:spacing w:after="60" w:before="20"/>
        <w:ind w:left="432"/>
      </w:pPr>
      <w:r>
        <w:rPr>
          <w:rFonts w:ascii="Calibri" w:hAnsi="Calibri"/>
          <w:sz w:val="22"/>
        </w:rPr>
        <w:t>At inference, BA can be merged into W: no latency overhead</w:t>
      </w:r>
    </w:p>
    <w:p>
      <w:pPr>
        <w:pStyle w:val="ListBullet"/>
        <w:spacing w:after="60" w:before="20"/>
        <w:ind w:left="432"/>
      </w:pPr>
      <w:r>
        <w:rPr>
          <w:rFonts w:ascii="Calibri" w:hAnsi="Calibri"/>
          <w:sz w:val="22"/>
        </w:rPr>
        <w:t>Applied to Q, K, V, O projections in attention; optionally FFN layers</w:t>
      </w:r>
    </w:p>
    <w:p>
      <w:pPr>
        <w:spacing w:after="120" w:before="40"/>
      </w:pPr>
      <w:r>
        <w:rPr>
          <w:rFonts w:ascii="Calibri" w:hAnsi="Calibri"/>
          <w:sz w:val="22"/>
        </w:rPr>
        <w:t>**QLoRA** extends LoRA by quantising the frozen base model to 4-bit NF4, reducing memory to ~5GB for a 7B model while maintaining BF16 LoRA adapters and using double quantisation + paged AdamW for stable training.</w:t>
      </w:r>
    </w:p>
    <w:p>
      <w:pPr>
        <w:pStyle w:val="Heading2"/>
        <w:jc w:val="left"/>
      </w:pPr>
      <w:r>
        <w:rPr>
          <w:rFonts w:ascii="Calibri" w:hAnsi="Calibri"/>
          <w:color w:val="1F497D"/>
        </w:rPr>
        <w:t>7.2  Prompt Tuning and Prefix Tuning</w:t>
      </w:r>
    </w:p>
    <w:p>
      <w:pPr>
        <w:spacing w:after="120" w:before="40"/>
      </w:pPr>
      <w:r>
        <w:rPr>
          <w:rFonts w:ascii="Calibri" w:hAnsi="Calibri"/>
          <w:sz w:val="22"/>
        </w:rPr>
        <w:t>These methods prepend trainable soft token embeddings to the input (Prompt Tuning) or to every layer's K/V cache (Prefix Tuning). They are parameter-efficient (100–1000 trainable params) but typically underperform LoRA at low data regimes. They are related to the L2P (Learning to Prompt) baseline in continual learning.</w:t>
      </w:r>
    </w:p>
    <w:p>
      <w:pPr>
        <w:spacing w:before="80" w:after="80"/>
        <w:pBdr>
          <w:bottom w:val="single" w:sz="6" w:space="1" w:color="2E86AB"/>
        </w:pBdr>
      </w:pPr>
    </w:p>
    <w:p>
      <w:pPr>
        <w:pStyle w:val="Heading1"/>
        <w:jc w:val="left"/>
      </w:pPr>
      <w:r>
        <w:rPr>
          <w:rFonts w:ascii="Calibri" w:hAnsi="Calibri"/>
          <w:color w:val="1F497D"/>
        </w:rPr>
        <w:t>8. Model Comparison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2016"/>
            <w:shd w:val="clear" w:color="auto" w:fill="1F497D"/>
            <w:tcBorders>
              <w:top w:val="single" w:sz="4" w:space="0" w:color="1F497D"/>
              <w:left w:val="single" w:sz="4" w:space="0" w:color="1F497D"/>
              <w:bottom w:val="single" w:sz="4" w:space="0" w:color="1F497D"/>
              <w:right w:val="single" w:sz="4" w:space="0" w:color="1F497D"/>
            </w:tcBorders>
          </w:tcPr>
          <w:p>
            <w:pPr>
              <w:jc w:val="center"/>
            </w:pPr>
            <w:r>
              <w:rPr>
                <w:rFonts w:ascii="Calibri" w:hAnsi="Calibri"/>
                <w:b/>
                <w:color w:val="FFFFFF"/>
                <w:sz w:val="20"/>
              </w:rPr>
              <w:t>Property</w:t>
            </w:r>
          </w:p>
        </w:tc>
        <w:tc>
          <w:tcPr>
            <w:tcW w:type="dxa" w:w="1872"/>
            <w:shd w:val="clear" w:color="auto" w:fill="1F497D"/>
            <w:tcBorders>
              <w:top w:val="single" w:sz="4" w:space="0" w:color="1F497D"/>
              <w:left w:val="single" w:sz="4" w:space="0" w:color="1F497D"/>
              <w:bottom w:val="single" w:sz="4" w:space="0" w:color="1F497D"/>
              <w:right w:val="single" w:sz="4" w:space="0" w:color="1F497D"/>
            </w:tcBorders>
          </w:tcPr>
          <w:p>
            <w:pPr>
              <w:jc w:val="center"/>
            </w:pPr>
            <w:r>
              <w:rPr>
                <w:rFonts w:ascii="Calibri" w:hAnsi="Calibri"/>
                <w:b/>
                <w:color w:val="FFFFFF"/>
                <w:sz w:val="20"/>
              </w:rPr>
              <w:t>Mistral 7B</w:t>
            </w:r>
          </w:p>
        </w:tc>
        <w:tc>
          <w:tcPr>
            <w:tcW w:type="dxa" w:w="1872"/>
            <w:shd w:val="clear" w:color="auto" w:fill="1F497D"/>
            <w:tcBorders>
              <w:top w:val="single" w:sz="4" w:space="0" w:color="1F497D"/>
              <w:left w:val="single" w:sz="4" w:space="0" w:color="1F497D"/>
              <w:bottom w:val="single" w:sz="4" w:space="0" w:color="1F497D"/>
              <w:right w:val="single" w:sz="4" w:space="0" w:color="1F497D"/>
            </w:tcBorders>
          </w:tcPr>
          <w:p>
            <w:pPr>
              <w:jc w:val="center"/>
            </w:pPr>
            <w:r>
              <w:rPr>
                <w:rFonts w:ascii="Calibri" w:hAnsi="Calibri"/>
                <w:b/>
                <w:color w:val="FFFFFF"/>
                <w:sz w:val="20"/>
              </w:rPr>
              <w:t>Mixtral 8×7B</w:t>
            </w:r>
          </w:p>
        </w:tc>
        <w:tc>
          <w:tcPr>
            <w:tcW w:type="dxa" w:w="1872"/>
            <w:shd w:val="clear" w:color="auto" w:fill="1F497D"/>
            <w:tcBorders>
              <w:top w:val="single" w:sz="4" w:space="0" w:color="1F497D"/>
              <w:left w:val="single" w:sz="4" w:space="0" w:color="1F497D"/>
              <w:bottom w:val="single" w:sz="4" w:space="0" w:color="1F497D"/>
              <w:right w:val="single" w:sz="4" w:space="0" w:color="1F497D"/>
            </w:tcBorders>
          </w:tcPr>
          <w:p>
            <w:pPr>
              <w:jc w:val="center"/>
            </w:pPr>
            <w:r>
              <w:rPr>
                <w:rFonts w:ascii="Calibri" w:hAnsi="Calibri"/>
                <w:b/>
                <w:color w:val="FFFFFF"/>
                <w:sz w:val="20"/>
              </w:rPr>
              <w:t>LLaMA-2 70B</w:t>
            </w:r>
          </w:p>
        </w:tc>
        <w:tc>
          <w:tcPr>
            <w:tcW w:type="dxa" w:w="1872"/>
            <w:shd w:val="clear" w:color="auto" w:fill="1F497D"/>
            <w:tcBorders>
              <w:top w:val="single" w:sz="4" w:space="0" w:color="1F497D"/>
              <w:left w:val="single" w:sz="4" w:space="0" w:color="1F497D"/>
              <w:bottom w:val="single" w:sz="4" w:space="0" w:color="1F497D"/>
              <w:right w:val="single" w:sz="4" w:space="0" w:color="1F497D"/>
            </w:tcBorders>
          </w:tcPr>
          <w:p>
            <w:pPr>
              <w:jc w:val="center"/>
            </w:pPr>
            <w:r>
              <w:rPr>
                <w:rFonts w:ascii="Calibri" w:hAnsi="Calibri"/>
                <w:b/>
                <w:color w:val="FFFFFF"/>
                <w:sz w:val="20"/>
              </w:rPr>
              <w:t>LLaMA Pro 8×40B</w:t>
            </w:r>
          </w:p>
        </w:tc>
      </w:tr>
      <w:tr>
        <w:tc>
          <w:tcPr>
            <w:tcW w:type="dxa" w:w="2016"/>
            <w:shd w:val="clear" w:color="auto" w:fill="EEF6FB"/>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F497D"/>
                <w:sz w:val="20"/>
              </w:rPr>
              <w:t>Architecture</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Dense transformer</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Sparse MoE</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Dense transformer</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Expanded dense</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F497D"/>
                <w:sz w:val="20"/>
              </w:rPr>
              <w:t>Total params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7.3 B</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46.7 B</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70 B</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8 × 40 B</w:t>
            </w:r>
          </w:p>
        </w:tc>
      </w:tr>
      <w:tr>
        <w:tc>
          <w:tcPr>
            <w:tcW w:type="dxa" w:w="2016"/>
            <w:shd w:val="clear" w:color="auto" w:fill="EEF6FB"/>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F497D"/>
                <w:sz w:val="20"/>
              </w:rPr>
              <w:t>Active params</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7.3 B</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12.9 B</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70 B</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~40 B</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F497D"/>
                <w:sz w:val="20"/>
              </w:rPr>
              <w:t>Attention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GQA + SWA</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GQA</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GQA</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MHA/GQA</w:t>
            </w:r>
          </w:p>
        </w:tc>
      </w:tr>
      <w:tr>
        <w:tc>
          <w:tcPr>
            <w:tcW w:type="dxa" w:w="2016"/>
            <w:shd w:val="clear" w:color="auto" w:fill="EEF6FB"/>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F497D"/>
                <w:sz w:val="20"/>
              </w:rPr>
              <w:t>Key innovation</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SWA, GQA efficiency</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Top-2 expert routing</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Scale via depth</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Block expansion</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F497D"/>
                <w:sz w:val="20"/>
              </w:rPr>
              <w:t>Forgetting risk</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High (full FT)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High (full FT)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High (full FT)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Low (frozen base)</w:t>
            </w:r>
          </w:p>
        </w:tc>
      </w:tr>
      <w:tr>
        <w:tc>
          <w:tcPr>
            <w:tcW w:type="dxa" w:w="2016"/>
            <w:shd w:val="clear" w:color="auto" w:fill="EEF6FB"/>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F497D"/>
                <w:sz w:val="20"/>
              </w:rPr>
              <w:t>PEFT friendly</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Yes (LoRA)</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Yes (LoRA/adapters)</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Yes (QLoRA)</w:t>
            </w:r>
          </w:p>
        </w:tc>
        <w:tc>
          <w:tcPr>
            <w:tcW w:type="dxa" w:w="1872"/>
            <w:shd w:val="clear" w:color="auto" w:fill="EEF6FB"/>
            <w:tcBorders>
              <w:top w:val="single" w:sz="4" w:space="0" w:color="CCCCCC"/>
              <w:left w:val="single" w:sz="4" w:space="0" w:color="CCCCCC"/>
              <w:bottom w:val="single" w:sz="4" w:space="0" w:color="CCCCCC"/>
              <w:right w:val="single" w:sz="4" w:space="0" w:color="CCCCCC"/>
            </w:tcBorders>
          </w:tcPr>
          <w:p>
            <w:pPr>
              <w:jc w:val="center"/>
            </w:pPr>
            <w:r>
              <w:rPr>
                <w:rFonts w:ascii="Calibri" w:hAnsi="Calibri"/>
                <w:b w:val="0"/>
                <w:sz w:val="20"/>
              </w:rPr>
              <w:t>By design</w:t>
            </w:r>
          </w:p>
        </w:tc>
      </w:tr>
    </w:tbl>
    <w:p/>
    <w:p>
      <w:pPr>
        <w:spacing w:before="80" w:after="80"/>
        <w:pBdr>
          <w:bottom w:val="single" w:sz="6" w:space="1" w:color="2E86AB"/>
        </w:pBdr>
      </w:pPr>
    </w:p>
    <w:p>
      <w:pPr>
        <w:pStyle w:val="Heading1"/>
        <w:jc w:val="left"/>
      </w:pPr>
      <w:r>
        <w:rPr>
          <w:rFonts w:ascii="Calibri" w:hAnsi="Calibri"/>
          <w:color w:val="1F497D"/>
        </w:rPr>
        <w:t>9. Common Training Challenges</w:t>
      </w:r>
    </w:p>
    <w:p>
      <w:pPr>
        <w:pStyle w:val="Heading2"/>
        <w:jc w:val="left"/>
      </w:pPr>
      <w:r>
        <w:rPr>
          <w:rFonts w:ascii="Calibri" w:hAnsi="Calibri"/>
          <w:color w:val="1F497D"/>
        </w:rPr>
        <w:t>9.1  Training Instability</w:t>
      </w:r>
    </w:p>
    <w:p>
      <w:pPr>
        <w:pStyle w:val="ListBullet"/>
        <w:spacing w:after="60" w:before="20"/>
        <w:ind w:left="432"/>
      </w:pPr>
      <w:r>
        <w:rPr>
          <w:rFonts w:ascii="Calibri" w:hAnsi="Calibri"/>
          <w:sz w:val="22"/>
        </w:rPr>
        <w:t>**Loss spikes:** Sudden increases in training loss, often from pathological batches or LR too high. Fixed with gradient clipping, LR warm-up, and spike recovery (revert checkpoint)</w:t>
      </w:r>
    </w:p>
    <w:p>
      <w:pPr>
        <w:pStyle w:val="ListBullet"/>
        <w:spacing w:after="60" w:before="20"/>
        <w:ind w:left="432"/>
      </w:pPr>
      <w:r>
        <w:rPr>
          <w:rFonts w:ascii="Calibri" w:hAnsi="Calibri"/>
          <w:sz w:val="22"/>
        </w:rPr>
        <w:t>**NaN gradients:** Float16 overflow in attention softmax or FFN activations. Remedied by switching to BF16, adding numerical guards, or using Flash Attention's numerically stable implementation</w:t>
      </w:r>
    </w:p>
    <w:p>
      <w:pPr>
        <w:pStyle w:val="ListBullet"/>
        <w:spacing w:after="60" w:before="20"/>
        <w:ind w:left="432"/>
      </w:pPr>
      <w:r>
        <w:rPr>
          <w:rFonts w:ascii="Calibri" w:hAnsi="Calibri"/>
          <w:sz w:val="22"/>
        </w:rPr>
        <w:t>**MoE collapse:** All tokens route to the same expert. Fixed with auxiliary load-balancing loss and initialising router weights to near-zero</w:t>
      </w:r>
    </w:p>
    <w:p>
      <w:pPr>
        <w:pStyle w:val="Heading2"/>
        <w:jc w:val="left"/>
      </w:pPr>
      <w:r>
        <w:rPr>
          <w:rFonts w:ascii="Calibri" w:hAnsi="Calibri"/>
          <w:color w:val="1F497D"/>
        </w:rPr>
        <w:t>9.2  Memory Management</w:t>
      </w:r>
    </w:p>
    <w:p>
      <w:pPr>
        <w:pStyle w:val="ListBullet"/>
        <w:spacing w:after="60" w:before="20"/>
        <w:ind w:left="432"/>
      </w:pPr>
      <w:r>
        <w:rPr>
          <w:rFonts w:ascii="Calibri" w:hAnsi="Calibri"/>
          <w:sz w:val="22"/>
        </w:rPr>
        <w:t>Activation checkpointing trades 30–40% compute overhead for large memory savings (only boundary activations stored)</w:t>
      </w:r>
    </w:p>
    <w:p>
      <w:pPr>
        <w:pStyle w:val="ListBullet"/>
        <w:spacing w:after="60" w:before="20"/>
        <w:ind w:left="432"/>
      </w:pPr>
      <w:r>
        <w:rPr>
          <w:rFonts w:ascii="Calibri" w:hAnsi="Calibri"/>
          <w:sz w:val="22"/>
        </w:rPr>
        <w:t>Sequence parallelism shards activations across devices for very long context windows</w:t>
      </w:r>
    </w:p>
    <w:p>
      <w:pPr>
        <w:pStyle w:val="ListBullet"/>
        <w:spacing w:after="60" w:before="20"/>
        <w:ind w:left="432"/>
      </w:pPr>
      <w:r>
        <w:rPr>
          <w:rFonts w:ascii="Calibri" w:hAnsi="Calibri"/>
          <w:sz w:val="22"/>
        </w:rPr>
        <w:t>CPU offloading (ZeRO-Infinity) enables training models larger than GPU memory by offloading optimiser states and parameters to CPU/NVMe</w:t>
      </w:r>
    </w:p>
    <w:p>
      <w:pPr>
        <w:pStyle w:val="Heading2"/>
        <w:jc w:val="left"/>
      </w:pPr>
      <w:r>
        <w:rPr>
          <w:rFonts w:ascii="Calibri" w:hAnsi="Calibri"/>
          <w:color w:val="1F497D"/>
        </w:rPr>
        <w:t>9.3  Evaluation During Training</w:t>
      </w:r>
    </w:p>
    <w:p>
      <w:pPr>
        <w:pStyle w:val="ListBullet"/>
        <w:spacing w:after="60" w:before="20"/>
        <w:ind w:left="432"/>
      </w:pPr>
      <w:r>
        <w:rPr>
          <w:rFonts w:ascii="Calibri" w:hAnsi="Calibri"/>
          <w:sz w:val="22"/>
        </w:rPr>
        <w:t>Held-out perplexity on validation slices of each data domain to detect domain forgetting</w:t>
      </w:r>
    </w:p>
    <w:p>
      <w:pPr>
        <w:pStyle w:val="ListBullet"/>
        <w:spacing w:after="60" w:before="20"/>
        <w:ind w:left="432"/>
      </w:pPr>
      <w:r>
        <w:rPr>
          <w:rFonts w:ascii="Calibri" w:hAnsi="Calibri"/>
          <w:sz w:val="22"/>
        </w:rPr>
        <w:t>Periodic evaluation on downstream benchmarks (MMLU, HellaSwag, HumanEval) via lm-evaluation-harness</w:t>
      </w:r>
    </w:p>
    <w:p>
      <w:pPr>
        <w:pStyle w:val="ListBullet"/>
        <w:spacing w:after="60" w:before="20"/>
        <w:ind w:left="432"/>
      </w:pPr>
      <w:r>
        <w:rPr>
          <w:rFonts w:ascii="Calibri" w:hAnsi="Calibri"/>
          <w:sz w:val="22"/>
        </w:rPr>
        <w:t>Continual models additionally track BWT (backward transfer) and ACC across temporal or domain splits</w:t>
      </w:r>
    </w:p>
    <w:p>
      <w:pPr>
        <w:spacing w:before="80" w:after="80"/>
        <w:pBdr>
          <w:bottom w:val="single" w:sz="6" w:space="1" w:color="2E86AB"/>
        </w:pBdr>
      </w:pPr>
    </w:p>
    <w:p>
      <w:pPr>
        <w:pStyle w:val="Heading1"/>
        <w:jc w:val="left"/>
      </w:pPr>
      <w:r>
        <w:rPr>
          <w:rFonts w:ascii="Calibri" w:hAnsi="Calibri"/>
          <w:color w:val="1F497D"/>
        </w:rPr>
        <w:t>10. Key Takeaways</w:t>
      </w:r>
    </w:p>
    <w:p>
      <w:pPr>
        <w:spacing w:after="120" w:before="40"/>
      </w:pPr>
      <w:r>
        <w:rPr>
          <w:rFonts w:ascii="Calibri" w:hAnsi="Calibri"/>
          <w:sz w:val="22"/>
        </w:rPr>
        <w:t>The three model families each represent a distinct approach to the efficiency-capability tradeoff in LLM training:</w:t>
      </w:r>
    </w:p>
    <w:p>
      <w:pPr>
        <w:pStyle w:val="ListBullet"/>
        <w:spacing w:after="60" w:before="20"/>
        <w:ind w:left="432"/>
      </w:pPr>
      <w:r>
        <w:rPr>
          <w:rFonts w:ascii="Calibri" w:hAnsi="Calibri"/>
          <w:sz w:val="22"/>
        </w:rPr>
        <w:t>**Mistral** optimises the existing dense architecture through hardware-aware attention design (SWA + GQA), achieving state-of-the-art quality-per-FLOP without novel training procedures.</w:t>
      </w:r>
    </w:p>
    <w:p>
      <w:pPr>
        <w:pStyle w:val="ListBullet"/>
        <w:spacing w:after="60" w:before="20"/>
        <w:ind w:left="432"/>
      </w:pPr>
      <w:r>
        <w:rPr>
          <w:rFonts w:ascii="Calibri" w:hAnsi="Calibri"/>
          <w:sz w:val="22"/>
        </w:rPr>
        <w:t>**Mixtral MoE** decouples parameter count from compute cost, enabling a 46.7B parameter model to match a 13B model in inference FLOPs while having far greater capacity. The routing mechanism and load-balancing loss are critical training details.</w:t>
      </w:r>
    </w:p>
    <w:p>
      <w:pPr>
        <w:pStyle w:val="ListBullet"/>
        <w:spacing w:after="60" w:before="20"/>
        <w:ind w:left="432"/>
      </w:pPr>
      <w:r>
        <w:rPr>
          <w:rFonts w:ascii="Calibri" w:hAnsi="Calibri"/>
          <w:sz w:val="22"/>
        </w:rPr>
        <w:t>**LLaMA Pro** addresses the continual learning challenge specifically: identity-initialised block expansion allows new knowledge to be injected without catastrophic forgetting of the frozen base model.</w:t>
      </w:r>
    </w:p>
    <w:p>
      <w:pPr>
        <w:pStyle w:val="ListBullet"/>
        <w:spacing w:after="60" w:before="20"/>
        <w:ind w:left="432"/>
      </w:pPr>
      <w:r>
        <w:rPr>
          <w:rFonts w:ascii="Calibri" w:hAnsi="Calibri"/>
          <w:sz w:val="22"/>
        </w:rPr>
        <w:t>Post-training alignment (SFT → DPO/RLHF) is now a universal stage across all production models, contributing as much to user-facing quality as architecture choices.</w:t>
      </w:r>
    </w:p>
    <w:p>
      <w:pPr>
        <w:pStyle w:val="ListBullet"/>
        <w:spacing w:after="60" w:before="20"/>
        <w:ind w:left="432"/>
      </w:pPr>
      <w:r>
        <w:rPr>
          <w:rFonts w:ascii="Calibri" w:hAnsi="Calibri"/>
          <w:sz w:val="22"/>
        </w:rPr>
        <w:t>PEFT methods (LoRA, QLoRA) democratise fine-tuning by reducing hardware requirements by 10–20×, making 7B–13B model adaptation feasible on a single consumer GPU.</w:t>
      </w:r>
    </w:p>
    <w:p/>
    <w:tbl>
      <w:tblPr>
        <w:tblW w:type="auto" w:w="0"/>
        <w:jc w:val="left"/>
        <w:tblLook w:firstColumn="1" w:firstRow="1" w:lastColumn="0" w:lastRow="0" w:noHBand="0" w:noVBand="1" w:val="04A0"/>
      </w:tblPr>
      <w:tblGrid>
        <w:gridCol w:w="8784"/>
      </w:tblGrid>
      <w:tr>
        <w:tc>
          <w:tcPr>
            <w:tcW w:type="dxa" w:w="8784"/>
            <w:shd w:val="clear" w:color="auto" w:fill="EEF6FB"/>
            <w:tcBorders>
              <w:left w:val="single" w:sz="18" w:space="0" w:color="2E86AB"/>
            </w:tcBorders>
          </w:tcPr>
          <w:p>
            <w:pPr>
              <w:spacing w:before="80" w:after="80"/>
            </w:pPr>
            <w:r>
              <w:rPr>
                <w:rFonts w:ascii="Calibri" w:hAnsi="Calibri"/>
                <w:b/>
                <w:color w:val="2E86AB"/>
                <w:sz w:val="21"/>
              </w:rPr>
              <w:t xml:space="preserve">Further reading:  </w:t>
            </w:r>
            <w:r>
              <w:rPr>
                <w:rFonts w:ascii="Calibri" w:hAnsi="Calibri"/>
                <w:sz w:val="21"/>
              </w:rPr>
              <w:t>Mistral 7B (Jiang et al., 2023) · Mixtral of Experts (Jiang et al., 2024) · LLaMA Pro (Wu et al., 2024) · LoRA (Hu et al., 2022) · DPO (Rafailov et al., 2023) · QLoRA (Dettmers et al., 2023)</w:t>
            </w:r>
          </w:p>
        </w:tc>
      </w:tr>
    </w:tbl>
    <w:p>
      <w:pPr>
        <w:spacing w:after="80"/>
      </w:pP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