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6l4a01zv1f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📑 SHAP Model Explainability Notebook –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7nrhlr76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notebook delivers a full </w:t>
      </w:r>
      <w:r w:rsidDel="00000000" w:rsidR="00000000" w:rsidRPr="00000000">
        <w:rPr>
          <w:b w:val="1"/>
          <w:rtl w:val="0"/>
        </w:rPr>
        <w:t xml:space="preserve">model interpretability analysis</w:t>
      </w:r>
      <w:r w:rsidDel="00000000" w:rsidR="00000000" w:rsidRPr="00000000">
        <w:rPr>
          <w:rtl w:val="0"/>
        </w:rPr>
        <w:t xml:space="preserve"> for our healthcare fraud detection project, using </w:t>
      </w:r>
      <w:r w:rsidDel="00000000" w:rsidR="00000000" w:rsidRPr="00000000">
        <w:rPr>
          <w:b w:val="1"/>
          <w:rtl w:val="0"/>
        </w:rPr>
        <w:t xml:space="preserve">SHAP (SHapley Additive exPlanations)</w:t>
      </w:r>
      <w:r w:rsidDel="00000000" w:rsidR="00000000" w:rsidRPr="00000000">
        <w:rPr>
          <w:rtl w:val="0"/>
        </w:rPr>
        <w:t xml:space="preserve"> to explain and audit the predictions of our final, production-ready XGBoost model.</w:t>
        <w:br w:type="textWrapping"/>
        <w:t xml:space="preserve"> Interpretability is critical for trust, regulatory compliance, and actionable business insight in fraud detection.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ilrbnms02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Workflow &amp; Methodology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1lexh5551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Model and Data Loading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Loaded the trained XGBoost model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xgboost_fraud_model.json</w:t>
      </w:r>
      <w:r w:rsidDel="00000000" w:rsidR="00000000" w:rsidRPr="00000000">
        <w:rPr>
          <w:rtl w:val="0"/>
        </w:rPr>
        <w:t xml:space="preserve">) previously saved from the modeling notebook.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set</w:t>
      </w:r>
      <w:r w:rsidDel="00000000" w:rsidR="00000000" w:rsidRPr="00000000">
        <w:rPr>
          <w:rtl w:val="0"/>
        </w:rPr>
        <w:t xml:space="preserve"> (features and labels) was loaded from parquet files to ensure consistency and reproducibility with the final evaluation metrics.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jjhyaup53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SHAP Explainer Setup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shap.TreeExplainer</w:t>
      </w:r>
      <w:r w:rsidDel="00000000" w:rsidR="00000000" w:rsidRPr="00000000">
        <w:rPr>
          <w:rtl w:val="0"/>
        </w:rPr>
        <w:t xml:space="preserve"> (optimized for XGBoost) to compute SHAP values for each provider in the validation set.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SHAP values quantify, for each provider and feature, </w:t>
      </w:r>
      <w:r w:rsidDel="00000000" w:rsidR="00000000" w:rsidRPr="00000000">
        <w:rPr>
          <w:b w:val="1"/>
          <w:rtl w:val="0"/>
        </w:rPr>
        <w:t xml:space="preserve">how much that feature “pushed” the model towards or away from predicting fraud.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tc2di0d4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Global Feature Importance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SHAP summary bar plot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beeswarm plot</w:t>
      </w:r>
      <w:r w:rsidDel="00000000" w:rsidR="00000000" w:rsidRPr="00000000">
        <w:rPr>
          <w:rtl w:val="0"/>
        </w:rPr>
        <w:t xml:space="preserve"> were generated to show which features are most important overall in fraud detection.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bar plot ranks features by mean absolute SHAP value (average impact).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beeswarm plot shows the direction of impact (whether high or low feature values increase fraud risk).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w3dggvvz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Local (Per-Provider) Explanations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a sample provider flagged as fraud, generated </w:t>
      </w:r>
      <w:r w:rsidDel="00000000" w:rsidR="00000000" w:rsidRPr="00000000">
        <w:rPr>
          <w:b w:val="1"/>
          <w:rtl w:val="0"/>
        </w:rPr>
        <w:t xml:space="preserve">force and waterfall plots</w:t>
      </w:r>
      <w:r w:rsidDel="00000000" w:rsidR="00000000" w:rsidRPr="00000000">
        <w:rPr>
          <w:rtl w:val="0"/>
        </w:rPr>
        <w:t xml:space="preserve"> to visualize exactly which features contributed most to the prediction.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Printed all feature values for transparency and auditability.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8fzjmge50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Key Findings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sk7jjff1f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Global Insights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predictors of fraud: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total_reimb</w:t>
      </w:r>
      <w:r w:rsidDel="00000000" w:rsidR="00000000" w:rsidRPr="00000000">
        <w:rPr>
          <w:rtl w:val="0"/>
        </w:rPr>
        <w:t xml:space="preserve"> (total reimbursement): By far the most powerful indicator; providers with unusually high reimbursements are at greatest risk.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kidney_rate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heartfail_rate</w:t>
      </w:r>
      <w:r w:rsidDel="00000000" w:rsidR="00000000" w:rsidRPr="00000000">
        <w:rPr>
          <w:rtl w:val="0"/>
        </w:rPr>
        <w:t xml:space="preserve">: High prevalence of certain chronic conditions among patients signals possible fraud.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inpatient_claims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claims_per_bene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median_reimb</w:t>
      </w:r>
      <w:r w:rsidDel="00000000" w:rsidR="00000000" w:rsidRPr="00000000">
        <w:rPr>
          <w:rtl w:val="0"/>
        </w:rPr>
        <w:t xml:space="preserve">: Patterns of high volume and value of claims are strong fraud signals.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SHAP beeswarm plot</w:t>
      </w:r>
      <w:r w:rsidDel="00000000" w:rsidR="00000000" w:rsidRPr="00000000">
        <w:rPr>
          <w:rtl w:val="0"/>
        </w:rPr>
        <w:t xml:space="preserve"> confirmed that </w:t>
      </w:r>
      <w:r w:rsidDel="00000000" w:rsidR="00000000" w:rsidRPr="00000000">
        <w:rPr>
          <w:b w:val="1"/>
          <w:rtl w:val="0"/>
        </w:rPr>
        <w:t xml:space="preserve">high values</w:t>
      </w:r>
      <w:r w:rsidDel="00000000" w:rsidR="00000000" w:rsidRPr="00000000">
        <w:rPr>
          <w:rtl w:val="0"/>
        </w:rPr>
        <w:t xml:space="preserve"> of financial and claim-count features drive the model toward fraud predictions.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3xmxkp4fk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Local (Per-Provider) Explanation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a specific provider flagged as fraud: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Exceptionally high total reimbursement and high inpatient claims</w:t>
      </w:r>
      <w:r w:rsidDel="00000000" w:rsidR="00000000" w:rsidRPr="00000000">
        <w:rPr>
          <w:rtl w:val="0"/>
        </w:rPr>
        <w:t xml:space="preserve"> were the dominant drivers of the fraud prediction.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features (e.g., claims per beneficiary, diabetes rate) had smaller mitigating or amplifying effects.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model’s decision was fully transparent and could be audited step-by-step.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jmcnkwnby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Business &amp; Compliance Value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SHAP provided actionable insights</w:t>
      </w:r>
      <w:r w:rsidDel="00000000" w:rsidR="00000000" w:rsidRPr="00000000">
        <w:rPr>
          <w:rtl w:val="0"/>
        </w:rPr>
        <w:t xml:space="preserve">: Audit teams can prioritize investigation of providers with similar feature patterns.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Transparency &amp; trust:</w:t>
      </w:r>
      <w:r w:rsidDel="00000000" w:rsidR="00000000" w:rsidRPr="00000000">
        <w:rPr>
          <w:rtl w:val="0"/>
        </w:rPr>
        <w:t xml:space="preserve"> SHAP enables clear justification for every model prediction, supporting regulatory compliance and fair decision-making.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auditability:</w:t>
        <w:br w:type="textWrapping"/>
      </w:r>
      <w:r w:rsidDel="00000000" w:rsidR="00000000" w:rsidRPr="00000000">
        <w:rPr>
          <w:rtl w:val="0"/>
        </w:rPr>
        <w:t xml:space="preserve"> All plots, feature values, and explanations are saved and can be reviewed for each provider.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1nqm5v7th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Best Practices Applied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Data, model, and splits were versioned and reproducible.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Interpretability tools (SHAP) were applied both globally and locally.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is business-friendly, technically sound, and ready for audit or stakeholder review.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k88famcek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Next Steps / What’s Missing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SHAP visualizations into reporting dashboards or case review tools.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batch SHAP explanations to all flagged providers for systematic auditing.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Optionally, use SHAP feature importances to further refine or simplify the model if desired.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7vm6j5hbt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Summary Statement</w:t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notebook closes the loop on model transparency for healthcare fraud detection.</w:t>
        <w:br w:type="textWrapping"/>
        <w:t xml:space="preserve"> All predictions can now be explained and defended, aligning with the highest standards for compliance, audit, and business trust.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