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t xml:space="preserve"/>
      </w:r>
    </w:p>
    <w:p>
      <w:pPr>
        <w:jc w:val="center"/>
      </w:pPr>
      <w:r>
        <w:rPr>
          <w:rFonts w:ascii="Arial" w:cs="Arial" w:eastAsia="Arial" w:hAnsi="Arial"/>
          <w:b/>
          <w:bCs/>
          <w:color w:val="888888"/>
          <w:sz w:val="20"/>
          <w:szCs w:val="20"/>
        </w:rPr>
        <w:t xml:space="preserve">PROJECT ARUVI</w:t>
      </w:r>
    </w:p>
    <w:p>
      <w:pPr>
        <w:spacing w:after="60" w:before="120"/>
        <w:jc w:val="center"/>
      </w:pPr>
      <w:r>
        <w:rPr>
          <w:rFonts w:ascii="Arial" w:cs="Arial" w:eastAsia="Arial" w:hAnsi="Arial"/>
          <w:b/>
          <w:bCs/>
          <w:color w:val="1F5C99"/>
          <w:sz w:val="52"/>
          <w:szCs w:val="52"/>
        </w:rPr>
        <w:t xml:space="preserve">The World Around Us (TWAU)</w:t>
      </w:r>
    </w:p>
    <w:p>
      <w:pPr>
        <w:spacing w:after="200" w:before="60"/>
        <w:jc w:val="center"/>
      </w:pPr>
      <w:r>
        <w:rPr>
          <w:rFonts w:ascii="Arial" w:cs="Arial" w:eastAsia="Arial" w:hAnsi="Arial"/>
          <w:color w:val="2E75B6"/>
          <w:sz w:val="28"/>
          <w:szCs w:val="28"/>
        </w:rPr>
        <w:t xml:space="preserve">Approach Design Report for Lesson Plan and Assessment</w:t>
      </w:r>
    </w:p>
    <w:p>
      <w:pPr>
        <w:pBdr>
          <w:bottom w:val="single" w:color="1F5C99" w:sz="6" w:space="1"/>
        </w:pBdr>
        <w:spacing w:after="80" w:before="80"/>
      </w:pPr>
      <w:r>
        <w:t xml:space="preserve"/>
      </w:r>
    </w:p>
    <w:p>
      <w:pPr>
        <w:spacing w:after="60" w:before="120"/>
        <w:jc w:val="center"/>
      </w:pPr>
      <w:r>
        <w:rPr>
          <w:rFonts w:ascii="Arial" w:cs="Arial" w:eastAsia="Arial" w:hAnsi="Arial"/>
          <w:color w:val="555555"/>
          <w:sz w:val="22"/>
          <w:szCs w:val="22"/>
        </w:rPr>
        <w:t xml:space="preserve">Grades IV and V  |  Preparatory Stage  |  NCERT 2025 Edition</w:t>
      </w:r>
    </w:p>
    <w:p>
      <w:pPr>
        <w:spacing w:after="200" w:before="40"/>
        <w:jc w:val="center"/>
      </w:pPr>
      <w:r>
        <w:rPr>
          <w:rFonts w:ascii="Arial" w:cs="Arial" w:eastAsia="Arial" w:hAnsi="Arial"/>
          <w:i/>
          <w:iCs/>
          <w:color w:val="888888"/>
          <w:sz w:val="20"/>
          <w:szCs w:val="20"/>
        </w:rPr>
        <w:t xml:space="preserve">Input document for Claude Code Plan Mode</w:t>
      </w:r>
    </w:p>
    <w:p>
      <w:r>
        <w:br w:type="page"/>
      </w:r>
    </w:p>
    <w:p>
      <w:pPr>
        <w:pStyle w:val="Heading1"/>
        <w:spacing w:after="120" w:before="360"/>
      </w:pPr>
      <w:r>
        <w:rPr>
          <w:rFonts w:ascii="Arial" w:cs="Arial" w:eastAsia="Arial" w:hAnsi="Arial"/>
          <w:b/>
          <w:bCs/>
          <w:sz w:val="32"/>
          <w:szCs w:val="32"/>
        </w:rPr>
        <w:t xml:space="preserve">1. Purpose and Scope</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This document is the primary design input for implementing The World Around Us (TWAU) into Project Aruvi's LP and Assessment pipeline. It distils a textual analysis of eight representative chapters across Grades IV and V against the TWAU NCF framework (CG-1 through CG-7) and Aruvi's existing architectural approaches for Science, Social Sciences, Mathematics, and English.</w:t>
      </w:r>
    </w:p>
    <w:p>
      <w:pPr>
        <w:spacing w:after="60" w:before="60"/>
      </w:pPr>
      <w:r>
        <w:rPr>
          <w:rFonts w:ascii="Arial" w:cs="Arial" w:eastAsia="Arial" w:hAnsi="Arial"/>
          <w:sz w:val="22"/>
          <w:szCs w:val="22"/>
        </w:rPr>
        <w:t xml:space="preserve">Expected output from this document: a Claude Code plan-mode specification that defines (a) an allocate-tab effort index formula, (b) a lesson plan organising principle, (c) an assessment organising principle, and (d) the constitution files and chapter summary JSON schema needed to implement them.</w:t>
      </w:r>
    </w:p>
    <w:p>
      <w:pPr>
        <w:spacing w:after="40" w:before="80"/>
      </w:pPr>
      <w:r>
        <w:t xml:space="preserve"/>
      </w:r>
    </w:p>
    <w:p>
      <w:pPr>
        <w:pStyle w:val="Heading2"/>
        <w:spacing w:after="80" w:before="240"/>
      </w:pPr>
      <w:r>
        <w:rPr>
          <w:rFonts w:ascii="Arial" w:cs="Arial" w:eastAsia="Arial" w:hAnsi="Arial"/>
          <w:b/>
          <w:bCs/>
          <w:sz w:val="28"/>
          <w:szCs w:val="28"/>
        </w:rPr>
        <w:t xml:space="preserve">1.1 Chapters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rPr>
          <w:tblHeader/>
        </w:trPr>
        <w:tc>
          <w:tcPr>
            <w:tcW w:type="dxa" w:w="1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Grade</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Unit</w:t>
            </w:r>
          </w:p>
        </w:tc>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Chapter</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Unit Theme</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 2 — Life Around Us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 3: Nature Trail</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Flora/fauna observation, interdependence, inquiry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Unit 2 — Life Around 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 4: Growing up with Nature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Nature-culture connect, tribal knowledge, sustainability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 4 — Things Around Us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 7: How Things Work</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Scientific inquiry, spinning, floating and sinking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Unit 4 — Things Around 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 8: How Things are Made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Paper-making, natural dyes, 5Rs, responsible choices</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 1 — Life Around Us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 1: Water — The Essence of Life</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Water forms, water cycle, freshwater habitats, conservation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Unit 1 — Life Around 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 2: Journey of a River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Godavari: tributaries, dams, pollution, floods, scarcity</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 5 — Our Amazing Planet</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 9: Rhythms of Nature</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Day/night, seasons, seasonal journals, festivals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Unit 5 — Our Amazing Planet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 10: Earth — Our Shared Home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Global connections, cultural exchange, Vasudhaiva Kutumbakam</w:t>
            </w:r>
          </w:p>
        </w:tc>
      </w:tr>
    </w:tbl>
    <w:p>
      <w:r>
        <w:br w:type="page"/>
      </w:r>
    </w:p>
    <w:p>
      <w:pPr>
        <w:pStyle w:val="Heading1"/>
        <w:spacing w:after="120" w:before="360"/>
      </w:pPr>
      <w:r>
        <w:rPr>
          <w:rFonts w:ascii="Arial" w:cs="Arial" w:eastAsia="Arial" w:hAnsi="Arial"/>
          <w:b/>
          <w:bCs/>
          <w:sz w:val="32"/>
          <w:szCs w:val="32"/>
        </w:rPr>
        <w:t xml:space="preserve">2. Character of TWAU — What Makes It Different</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TWAU is the NCERT preparatory-stage integrated subject (Grades III-V) that deliberately weaves together environmental science, social studies, physical science, and cultural studies into a single thematically unified textbook. Understanding its character is essential before selecting an Aruvi approach.</w:t>
      </w:r>
    </w:p>
    <w:p>
      <w:pPr>
        <w:pStyle w:val="Heading2"/>
        <w:spacing w:after="80" w:before="240"/>
      </w:pPr>
      <w:r>
        <w:rPr>
          <w:rFonts w:ascii="Arial" w:cs="Arial" w:eastAsia="Arial" w:hAnsi="Arial"/>
          <w:b/>
          <w:bCs/>
          <w:sz w:val="28"/>
          <w:szCs w:val="28"/>
        </w:rPr>
        <w:t xml:space="preserve">2.1 Multi-Domain Integration Within Every Chapter</w:t>
      </w:r>
    </w:p>
    <w:p>
      <w:pPr>
        <w:spacing w:after="60" w:before="60"/>
      </w:pPr>
      <w:r>
        <w:rPr>
          <w:rFonts w:ascii="Arial" w:cs="Arial" w:eastAsia="Arial" w:hAnsi="Arial"/>
          <w:sz w:val="22"/>
          <w:szCs w:val="22"/>
        </w:rPr>
        <w:t xml:space="preserve">Unlike middle-stage subjects where each textbook is domain-specific, every TWAU chapter blends multiple domains simultaneously. The sample chapters demonstrate this clearly:</w:t>
      </w:r>
    </w:p>
    <w:p>
      <w:pPr>
        <w:pStyle w:val="ListParagraph"/>
        <w:numPr>
          <w:ilvl w:val="0"/>
          <w:numId w:val="2"/>
        </w:numPr>
        <w:spacing w:after="40" w:before="40"/>
      </w:pPr>
      <w:r>
        <w:rPr>
          <w:rFonts w:ascii="Arial" w:cs="Arial" w:eastAsia="Arial" w:hAnsi="Arial"/>
          <w:sz w:val="22"/>
          <w:szCs w:val="22"/>
        </w:rPr>
        <w:t xml:space="preserve">IV Ch 3 (Nature Trail): Life science (biodiversity, adaptations) + Environmental sensitivity (conservation ethics) + Inquiry process (observation, recording)</w:t>
      </w:r>
    </w:p>
    <w:p>
      <w:pPr>
        <w:pStyle w:val="ListParagraph"/>
        <w:numPr>
          <w:ilvl w:val="0"/>
          <w:numId w:val="2"/>
        </w:numPr>
        <w:spacing w:after="40" w:before="40"/>
      </w:pPr>
      <w:r>
        <w:rPr>
          <w:rFonts w:ascii="Arial" w:cs="Arial" w:eastAsia="Arial" w:hAnsi="Arial"/>
          <w:sz w:val="22"/>
          <w:szCs w:val="22"/>
        </w:rPr>
        <w:t xml:space="preserve">IV Ch 4 (Growing up with Nature): Cultural ecology (tribal practices, sacred groves) + Life science (medicinal plants) + Technology (solar energy, natural dyes) + Safety/health (first aid, neem oil)</w:t>
      </w:r>
    </w:p>
    <w:p>
      <w:pPr>
        <w:pStyle w:val="ListParagraph"/>
        <w:numPr>
          <w:ilvl w:val="0"/>
          <w:numId w:val="2"/>
        </w:numPr>
        <w:spacing w:after="40" w:before="40"/>
      </w:pPr>
      <w:r>
        <w:rPr>
          <w:rFonts w:ascii="Arial" w:cs="Arial" w:eastAsia="Arial" w:hAnsi="Arial"/>
          <w:sz w:val="22"/>
          <w:szCs w:val="22"/>
        </w:rPr>
        <w:t xml:space="preserve">IV Ch 7 (How Things Work): Physical science (spinning, floating/sinking) + Engineering design (boat building) + Scientific inquiry process</w:t>
      </w:r>
    </w:p>
    <w:p>
      <w:pPr>
        <w:pStyle w:val="ListParagraph"/>
        <w:numPr>
          <w:ilvl w:val="0"/>
          <w:numId w:val="2"/>
        </w:numPr>
        <w:spacing w:after="40" w:before="40"/>
      </w:pPr>
      <w:r>
        <w:rPr>
          <w:rFonts w:ascii="Arial" w:cs="Arial" w:eastAsia="Arial" w:hAnsi="Arial"/>
          <w:sz w:val="22"/>
          <w:szCs w:val="22"/>
        </w:rPr>
        <w:t xml:space="preserve">IV Ch 8 (How Things are Made): Materials science (paper, natural dyes) + Environmental values (5Rs, recycling) + Cultural knowledge (talapatra, banana fibre paper)</w:t>
      </w:r>
    </w:p>
    <w:p>
      <w:pPr>
        <w:pStyle w:val="ListParagraph"/>
        <w:numPr>
          <w:ilvl w:val="0"/>
          <w:numId w:val="2"/>
        </w:numPr>
        <w:spacing w:after="40" w:before="40"/>
      </w:pPr>
      <w:r>
        <w:rPr>
          <w:rFonts w:ascii="Arial" w:cs="Arial" w:eastAsia="Arial" w:hAnsi="Arial"/>
          <w:sz w:val="22"/>
          <w:szCs w:val="22"/>
        </w:rPr>
        <w:t xml:space="preserve">V Ch 1 (Water — Essence of Life): Earth science (water cycle, groundwater) + Life science (aquatic habitats, food chains) + Geography (India's rivers, map work) + Conservation ethics</w:t>
      </w:r>
    </w:p>
    <w:p>
      <w:pPr>
        <w:pStyle w:val="ListParagraph"/>
        <w:numPr>
          <w:ilvl w:val="0"/>
          <w:numId w:val="2"/>
        </w:numPr>
        <w:spacing w:after="40" w:before="40"/>
      </w:pPr>
      <w:r>
        <w:rPr>
          <w:rFonts w:ascii="Arial" w:cs="Arial" w:eastAsia="Arial" w:hAnsi="Arial"/>
          <w:sz w:val="22"/>
          <w:szCs w:val="22"/>
        </w:rPr>
        <w:t xml:space="preserve">V Ch 2 (Journey of a River): Geography (Godavari basin) + Ecology (pollution, eutrophication) + Civics (dam displacement, water equity, flood preparedness)</w:t>
      </w:r>
    </w:p>
    <w:p>
      <w:pPr>
        <w:pStyle w:val="ListParagraph"/>
        <w:numPr>
          <w:ilvl w:val="0"/>
          <w:numId w:val="2"/>
        </w:numPr>
        <w:spacing w:after="40" w:before="40"/>
      </w:pPr>
      <w:r>
        <w:rPr>
          <w:rFonts w:ascii="Arial" w:cs="Arial" w:eastAsia="Arial" w:hAnsi="Arial"/>
          <w:sz w:val="22"/>
          <w:szCs w:val="22"/>
        </w:rPr>
        <w:t xml:space="preserve">V Ch 9 (Rhythms of Nature): Earth science (day/night, rotation) + Cultural ecology (six seasons, festivals, crops) + Scientific method (systematic year-long journalling)</w:t>
      </w:r>
    </w:p>
    <w:p>
      <w:pPr>
        <w:pStyle w:val="ListParagraph"/>
        <w:numPr>
          <w:ilvl w:val="0"/>
          <w:numId w:val="2"/>
        </w:numPr>
        <w:spacing w:after="40" w:before="40"/>
      </w:pPr>
      <w:r>
        <w:rPr>
          <w:rFonts w:ascii="Arial" w:cs="Arial" w:eastAsia="Arial" w:hAnsi="Arial"/>
          <w:sz w:val="22"/>
          <w:szCs w:val="22"/>
        </w:rPr>
        <w:t xml:space="preserve">V Ch 10 (Earth — Our Shared Home): Geography (globe, continents) + Cultural exchange (yoga, chilli, marigold, sugar, Indian cattle in Brazil) + Values (Vasudhaiva Kutumbakam)</w:t>
      </w:r>
    </w:p>
    <w:p>
      <w:pPr>
        <w:spacing w:after="40" w:before="80"/>
      </w:pPr>
      <w:r>
        <w:t xml:space="preserve"/>
      </w:r>
    </w:p>
    <w:p>
      <w:pPr>
        <w:pStyle w:val="Heading2"/>
        <w:spacing w:after="80" w:before="240"/>
      </w:pPr>
      <w:r>
        <w:rPr>
          <w:rFonts w:ascii="Arial" w:cs="Arial" w:eastAsia="Arial" w:hAnsi="Arial"/>
          <w:b/>
          <w:bCs/>
          <w:sz w:val="28"/>
          <w:szCs w:val="28"/>
        </w:rPr>
        <w:t xml:space="preserve">2.2 Activity-Centric Pedagogy — Not Knowledge Transfer</w:t>
      </w:r>
    </w:p>
    <w:p>
      <w:pPr>
        <w:spacing w:after="60" w:before="60"/>
      </w:pPr>
      <w:r>
        <w:rPr>
          <w:rFonts w:ascii="Arial" w:cs="Arial" w:eastAsia="Arial" w:hAnsi="Arial"/>
          <w:sz w:val="22"/>
          <w:szCs w:val="22"/>
        </w:rPr>
        <w:t xml:space="preserve">TWAU chapters are not primarily expository texts with exercises appended. The chapter IS the activity sequence. Each chapter delivers 4-10 numbered hands-on activities (observation, inquiry experiments, role-play, journalling, crafts, group discussions, map work) that are the primary learning medium. The expository text between activities is typically thin connective tissue — often 2-4 sentences — that sets up the next activity.</w:t>
      </w:r>
    </w:p>
    <w:p>
      <w:pPr>
        <w:spacing w:after="60" w:before="60"/>
      </w:pPr>
      <w:r>
        <w:rPr>
          <w:rFonts w:ascii="Arial" w:cs="Arial" w:eastAsia="Arial" w:hAnsi="Arial"/>
          <w:sz w:val="22"/>
          <w:szCs w:val="22"/>
        </w:rPr>
        <w:t xml:space="preserve">Evidence: IV Ch 7 has 5 major inquiry activities + 1 boat-design activity; V Ch 9 has a 4-step seasonal chart activity spanning 8 pages; V Ch 1 has 10 numbered activities across 18 pages. This is fundamentally different from all existing Aruvi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thick" w:color="E67E22" w:sz="12"/>
              <w:bottom w:val="single" w:color="E67E22" w:sz="1"/>
              <w:right w:val="single" w:color="E67E22" w:sz="1"/>
            </w:tcBorders>
            <w:shd w:fill="FFF3CD" w:val="clear"/>
            <w:tcMar>
              <w:top w:type="dxa" w:w="100"/>
              <w:left w:type="dxa" w:w="200"/>
              <w:bottom w:type="dxa" w:w="100"/>
              <w:right w:type="dxa" w:w="120"/>
            </w:tcMar>
          </w:tcPr>
          <w:p>
            <w:pPr>
              <w:spacing w:after="20" w:before="40"/>
            </w:pPr>
            <w:r>
              <w:rPr>
                <w:rFonts w:ascii="Arial" w:cs="Arial" w:eastAsia="Arial" w:hAnsi="Arial"/>
                <w:b/>
                <w:bCs/>
                <w:sz w:val="22"/>
                <w:szCs w:val="22"/>
              </w:rPr>
              <w:t xml:space="preserve">Critical Implication for LP Structure:</w:t>
            </w:r>
          </w:p>
          <w:p>
            <w:pPr>
              <w:spacing w:after="40" w:before="20"/>
            </w:pPr>
            <w:r>
              <w:rPr>
                <w:rFonts w:ascii="Arial" w:cs="Arial" w:eastAsia="Arial" w:hAnsi="Arial"/>
                <w:sz w:val="22"/>
                <w:szCs w:val="22"/>
              </w:rPr>
              <w:t xml:space="preserve">The TWAU lesson plan cannot follow the structure 'Teach concept X, then do exercise Y.' It must be structured as an activity sequence where observation and action come first and conceptual framing follows as consolidation. This is the pedagogical inversion of most middle-stage subjects. The LP organising principle must reflect this explicitly.</w:t>
            </w:r>
          </w:p>
        </w:tc>
      </w:tr>
    </w:tbl>
    <w:p>
      <w:pPr>
        <w:spacing w:after="40" w:before="80"/>
      </w:pPr>
      <w:r>
        <w:t xml:space="preserve"/>
      </w:r>
    </w:p>
    <w:p>
      <w:pPr>
        <w:pStyle w:val="Heading2"/>
        <w:spacing w:after="80" w:before="240"/>
      </w:pPr>
      <w:r>
        <w:rPr>
          <w:rFonts w:ascii="Arial" w:cs="Arial" w:eastAsia="Arial" w:hAnsi="Arial"/>
          <w:b/>
          <w:bCs/>
          <w:sz w:val="28"/>
          <w:szCs w:val="28"/>
        </w:rPr>
        <w:t xml:space="preserve">2.3 Local-to-Global Progressive Scope Across Grades</w:t>
      </w:r>
    </w:p>
    <w:p>
      <w:pPr>
        <w:spacing w:after="60" w:before="60"/>
      </w:pPr>
      <w:r>
        <w:rPr>
          <w:rFonts w:ascii="Arial" w:cs="Arial" w:eastAsia="Arial" w:hAnsi="Arial"/>
          <w:sz w:val="22"/>
          <w:szCs w:val="22"/>
        </w:rPr>
        <w:t xml:space="preserve">The NCF pedagogy document explicitly requires content to move from immediate local environment in lower grades to larger systems in higher grades. Within the sample chapters this progression is clear: Grade IV chapters ask students to observe and describe within their immediate environment (a forest, a village); Grade V chapters ask students to connect, explain causality, and evaluate trade-offs at regional and global scales.</w:t>
      </w:r>
    </w:p>
    <w:p>
      <w:pPr>
        <w:spacing w:after="60" w:before="60"/>
      </w:pPr>
      <w:r>
        <w:rPr>
          <w:rFonts w:ascii="Arial" w:cs="Arial" w:eastAsia="Arial" w:hAnsi="Arial"/>
          <w:sz w:val="22"/>
          <w:szCs w:val="22"/>
        </w:rPr>
        <w:t xml:space="preserve">This cognitive graduation means the LP constitution must allow for grade-appropriate conceptual demands — Grade IV typically requires levels 1-2 (observe/describe), Grade V requires levels 2-3 (connect/explain/evaluate).</w:t>
      </w:r>
    </w:p>
    <w:p>
      <w:pPr>
        <w:pStyle w:val="Heading2"/>
        <w:spacing w:after="80" w:before="240"/>
      </w:pPr>
      <w:r>
        <w:rPr>
          <w:rFonts w:ascii="Arial" w:cs="Arial" w:eastAsia="Arial" w:hAnsi="Arial"/>
          <w:b/>
          <w:bCs/>
          <w:sz w:val="28"/>
          <w:szCs w:val="28"/>
        </w:rPr>
        <w:t xml:space="preserve">2.4 Dual Strand: Natural World + Human-Cultural World</w:t>
      </w:r>
    </w:p>
    <w:p>
      <w:pPr>
        <w:spacing w:after="60" w:before="60"/>
      </w:pPr>
      <w:r>
        <w:rPr>
          <w:rFonts w:ascii="Arial" w:cs="Arial" w:eastAsia="Arial" w:hAnsi="Arial"/>
          <w:sz w:val="22"/>
          <w:szCs w:val="22"/>
        </w:rPr>
        <w:t xml:space="preserve">Every chapter carries two parallel strands running simultaneously: (a) the natural or physical phenomenon, and (b) how human communities, cultures, and values relate to that phenomenon. These are not separable — NCF CG-2 explicitly calls for connecting natural environment and cultural practices. The LP must address both strands and assessment must probe both, not only the science content.</w:t>
      </w:r>
    </w:p>
    <w:p>
      <w:pPr>
        <w:pStyle w:val="Heading2"/>
        <w:spacing w:after="80" w:before="240"/>
      </w:pPr>
      <w:r>
        <w:rPr>
          <w:rFonts w:ascii="Arial" w:cs="Arial" w:eastAsia="Arial" w:hAnsi="Arial"/>
          <w:b/>
          <w:bCs/>
          <w:sz w:val="28"/>
          <w:szCs w:val="28"/>
        </w:rPr>
        <w:t xml:space="preserve">2.5 Values and Dispositions Are Core Content, Not Peripheral</w:t>
      </w:r>
    </w:p>
    <w:p>
      <w:pPr>
        <w:spacing w:after="60" w:before="60"/>
      </w:pPr>
      <w:r>
        <w:rPr>
          <w:rFonts w:ascii="Arial" w:cs="Arial" w:eastAsia="Arial" w:hAnsi="Arial"/>
          <w:sz w:val="22"/>
          <w:szCs w:val="22"/>
        </w:rPr>
        <w:t xml:space="preserve">NCF CG-4 (Environmental sensitivity) and CG-3 (Safety) treat values as competency objectives. Chapters consistently culminate in disposition-building tasks: designing a water-conservation school (V Ch 1), writing flood-safety role-plays as Sarpanch (V Ch 2), reflecting on seasonal festivals as nature rhythms (V Ch 9), tracing India's global cultural contributions (V Ch 10). These must appear in both LP periods and assessment items.</w:t>
      </w:r>
    </w:p>
    <w:p>
      <w:pPr>
        <w:pStyle w:val="Heading2"/>
        <w:spacing w:after="80" w:before="240"/>
      </w:pPr>
      <w:r>
        <w:rPr>
          <w:rFonts w:ascii="Arial" w:cs="Arial" w:eastAsia="Arial" w:hAnsi="Arial"/>
          <w:b/>
          <w:bCs/>
          <w:sz w:val="28"/>
          <w:szCs w:val="28"/>
        </w:rPr>
        <w:t xml:space="preserve">2.6 Inquiry Process as a Competency</w:t>
      </w:r>
    </w:p>
    <w:p>
      <w:pPr>
        <w:spacing w:after="60" w:before="60"/>
      </w:pPr>
      <w:r>
        <w:rPr>
          <w:rFonts w:ascii="Arial" w:cs="Arial" w:eastAsia="Arial" w:hAnsi="Arial"/>
          <w:sz w:val="22"/>
          <w:szCs w:val="22"/>
        </w:rPr>
        <w:t xml:space="preserve">TWAU explicitly develops scientific inquiry habits: observe → hypothesise → experiment → record → discuss → communicate. CG-6.1 (performs simple inquiry independently or in groups) and CG-7.1 (familiarity with scientific method) are not marginal. The floating/sinking sequence in IV Ch 7 is a structured 4-step inquiry cycle. The seasonal journal in V Ch 9 is a year-long observational study. The LP must make the inquiry arc explicit and assessment must test inquiry capacity, not only retained facts.</w:t>
      </w:r>
    </w:p>
    <w:p>
      <w:r>
        <w:br w:type="page"/>
      </w:r>
    </w:p>
    <w:p>
      <w:pPr>
        <w:pStyle w:val="Heading1"/>
        <w:spacing w:after="120" w:before="360"/>
      </w:pPr>
      <w:r>
        <w:rPr>
          <w:rFonts w:ascii="Arial" w:cs="Arial" w:eastAsia="Arial" w:hAnsi="Arial"/>
          <w:b/>
          <w:bCs/>
          <w:sz w:val="32"/>
          <w:szCs w:val="32"/>
        </w:rPr>
        <w:t xml:space="preserve">3. NCF Competency Profile — CG Activation Across Sample Chapters</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TWAU has 7 Curricular Goals (CG-1 through CG-7) with 22 competencies. All 7 CGs are activated across the sample chapters, but the distribution is uneven. CG-1 (Explores environment) is universally active and functions as the foundation — it is not a differentiator for chapter weighting. CG-2 (Interdependence — Vasudhaiva Kutumbakam) and CG-4 (Environmental sensitivity) are dominant across most chapters and drive meaningful differentiation. CG-5 (Maps) appears strongly in V Ch 1 and V Ch 2 where India river maps are used for structured activities.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80"/>
        <w:gridCol w:w="880"/>
        <w:gridCol w:w="880"/>
        <w:gridCol w:w="880"/>
        <w:gridCol w:w="880"/>
        <w:gridCol w:w="880"/>
        <w:gridCol w:w="88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Curricular Goal</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IV Ch3</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IV Ch4</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IV Ch7</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IV Ch8</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 Ch1</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 Ch2</w:t>
            </w:r>
          </w:p>
        </w:tc>
        <w:tc>
          <w:tcPr>
            <w:tcW w:type="dxa" w:w="8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 Ch9+10</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CG-1: Explores natural and socio-cultural environment</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CG-2: Interdependence (Vasudhaiva Kutumbakam)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CG-3: Safety in emergency situations</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CG-4: Sensitivity to social and natural environment</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CG-5: Reads and interprets simple maps</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CG-6: Inquiry using data from various sources</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r>
      <w:tr>
        <w:tc>
          <w:tcPr>
            <w:tcW w:type="dxa" w:w="3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CG-7: Foundational natural science familiarity</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CORE</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MED</w:t>
            </w:r>
          </w:p>
        </w:tc>
        <w:tc>
          <w:tcPr>
            <w:tcW w:type="dxa" w:w="88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r>
    </w:tbl>
    <w:p>
      <w:pPr>
        <w:spacing w:after="120" w:before="60"/>
      </w:pPr>
      <w:r>
        <w:rPr>
          <w:rFonts w:ascii="Arial" w:cs="Arial" w:eastAsia="Arial" w:hAnsi="Arial"/>
          <w:i/>
          <w:iCs/>
          <w:color w:val="666666"/>
          <w:sz w:val="18"/>
          <w:szCs w:val="18"/>
        </w:rPr>
        <w:t xml:space="preserve">CORE = primary architectural driver | HIGH = explicitly developed | MED = incidentally present | — = absent</w:t>
      </w:r>
    </w:p>
    <w:p>
      <w:pPr>
        <w:spacing w:after="40" w:before="80"/>
      </w:pPr>
      <w:r>
        <w:t xml:space="preserve"/>
      </w:r>
    </w:p>
    <w:p>
      <w:pPr>
        <w:spacing w:after="60" w:before="60"/>
      </w:pPr>
      <w:r>
        <w:rPr>
          <w:rFonts w:ascii="Arial" w:cs="Arial" w:eastAsia="Arial" w:hAnsi="Arial"/>
          <w:sz w:val="22"/>
          <w:szCs w:val="22"/>
        </w:rPr>
        <w:t xml:space="preserve">Key insight: No single CG dominates every chapter the way CG-3 dominates Science 'ecosystem' chapters or C-2.1 dominates certain SS chapters. TWAU chapters are characteristically multi-CG. This means the mapping JSON must record multiple active C-codes per chapter, and the allocate-tab logic must use a quantity-of-effort measure (effort index) rather than competency weights.</w:t>
      </w:r>
    </w:p>
    <w:p>
      <w:r>
        <w:br w:type="page"/>
      </w:r>
    </w:p>
    <w:p>
      <w:pPr>
        <w:pStyle w:val="Heading1"/>
        <w:spacing w:after="120" w:before="360"/>
      </w:pPr>
      <w:r>
        <w:rPr>
          <w:rFonts w:ascii="Arial" w:cs="Arial" w:eastAsia="Arial" w:hAnsi="Arial"/>
          <w:b/>
          <w:bCs/>
          <w:sz w:val="32"/>
          <w:szCs w:val="32"/>
        </w:rPr>
        <w:t xml:space="preserve">4. Recommended Aruvi Approach — Hybrid Model</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Four existing Aruvi approaches were evaluated for fit with TWAU's character. The table below summarises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rPr>
          <w:tblHeader/>
        </w:trP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Existing Approach</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Logic</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Fits TWAU?</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Social Sciences (Competency Weights)</w:t>
            </w:r>
          </w:p>
        </w:tc>
        <w:tc>
          <w:tcPr>
            <w:tcW w:type="dxa" w:w="24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Weight = depth of NCF competency engagement per chapter; drives allocate proportionally</w:t>
            </w:r>
          </w:p>
        </w:tc>
        <w:tc>
          <w:tcPr>
            <w:tcW w:type="dxa" w:w="156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Partial</w:t>
            </w:r>
          </w:p>
        </w:tc>
        <w:tc>
          <w:tcPr>
            <w:tcW w:type="dxa" w:w="3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TWAU chapters activate many CGs simultaneously at moderate depth — the 'one dominant competency per chapter' assumption does not 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Science (Effort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Chapter weighted by conceptual demand + activity count + demo count + exec load. Single primary CG per chapter.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Strong Partial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Activity-count component fits TWAU very well. But the 'single primary CG' assumption and demo-count/exec-load components are not applicable to TWAU</w:t>
            </w:r>
          </w:p>
        </w:tc>
      </w:tr>
      <w:tr>
        <w:tc>
          <w:tcPr>
            <w:tcW w:type="dxa" w:w="18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Mathematics (Competency Weights + Effort)</w:t>
            </w:r>
          </w:p>
        </w:tc>
        <w:tc>
          <w:tcPr>
            <w:tcW w:type="dxa" w:w="24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Core CG + adjuncts per chapter. Effort index derived from mathematical complexity.</w:t>
            </w:r>
          </w:p>
        </w:tc>
        <w:tc>
          <w:tcPr>
            <w:tcW w:type="dxa" w:w="156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Weak</w:t>
            </w:r>
          </w:p>
        </w:tc>
        <w:tc>
          <w:tcPr>
            <w:tcW w:type="dxa" w:w="360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pPr>
              <w:spacing w:after="40" w:before="40"/>
            </w:pPr>
            <w:r>
              <w:rPr>
                <w:rFonts w:ascii="Arial" w:cs="Arial" w:eastAsia="Arial" w:hAnsi="Arial"/>
                <w:sz w:val="22"/>
                <w:szCs w:val="22"/>
              </w:rPr>
              <w:t xml:space="preserve">TWAU chapters do not have the hierarchical disciplinary progression that maths assumes. Multi-domain chapters resist single-core-concept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English (6-Spine, Two-Axis)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Two-axis structure: sections x skill spines. LP walks sections then spines. No CG codes in LP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Inspirational Analogy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English's insight — a subject's LP organiser is a multi-dimensional frame, not a single competency hierarchy — is directly applicable to TWAU's activity-centric, multi-domain structure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thick" w:color="E67E22" w:sz="12"/>
              <w:bottom w:val="single" w:color="E67E22" w:sz="1"/>
              <w:right w:val="single" w:color="E67E22" w:sz="1"/>
            </w:tcBorders>
            <w:shd w:fill="E8F5E9" w:val="clear"/>
            <w:tcMar>
              <w:top w:type="dxa" w:w="100"/>
              <w:left w:type="dxa" w:w="200"/>
              <w:bottom w:type="dxa" w:w="100"/>
              <w:right w:type="dxa" w:w="120"/>
            </w:tcMar>
          </w:tcPr>
          <w:p>
            <w:pPr>
              <w:spacing w:after="20" w:before="40"/>
            </w:pPr>
            <w:r>
              <w:rPr>
                <w:rFonts w:ascii="Arial" w:cs="Arial" w:eastAsia="Arial" w:hAnsi="Arial"/>
                <w:b/>
                <w:bCs/>
                <w:sz w:val="22"/>
                <w:szCs w:val="22"/>
              </w:rPr>
              <w:t xml:space="preserve">Core Recommendation: Hybrid Model — Activity Arc + Competency Strand</w:t>
            </w:r>
          </w:p>
          <w:p>
            <w:pPr>
              <w:spacing w:after="40" w:before="20"/>
            </w:pPr>
            <w:r>
              <w:rPr>
                <w:rFonts w:ascii="Arial" w:cs="Arial" w:eastAsia="Arial" w:hAnsi="Arial"/>
                <w:sz w:val="22"/>
                <w:szCs w:val="22"/>
              </w:rPr>
              <w:t xml:space="preserve">TWAU should use a new hybrid model. The effort index from Science drives chapter weighting for the Allocate tab (with formula adapted for TWAU). A two-axis LP structure inspired by English (sections x learning modes) organises the lesson plan. Competency-strand targeting from Social Sciences drives assessment question-type selection. This hybrid avoids forcing a single-subject logic onto an integrated preparatory-stage subject.</w:t>
            </w:r>
          </w:p>
        </w:tc>
      </w:tr>
    </w:tbl>
    <w:p>
      <w:pPr>
        <w:spacing w:after="40" w:before="80"/>
      </w:pPr>
      <w:r>
        <w:t xml:space="preserve"/>
      </w:r>
    </w:p>
    <w:p>
      <w:pPr>
        <w:pStyle w:val="Heading2"/>
        <w:spacing w:after="80" w:before="240"/>
      </w:pPr>
      <w:r>
        <w:rPr>
          <w:rFonts w:ascii="Arial" w:cs="Arial" w:eastAsia="Arial" w:hAnsi="Arial"/>
          <w:b/>
          <w:bCs/>
          <w:sz w:val="28"/>
          <w:szCs w:val="28"/>
        </w:rPr>
        <w:t xml:space="preserve">4.1 Allocate-Tab Logic: Adapted Effort Index</w:t>
      </w:r>
    </w:p>
    <w:p>
      <w:pPr>
        <w:spacing w:after="60" w:before="60"/>
      </w:pPr>
      <w:r>
        <w:rPr>
          <w:rFonts w:ascii="Arial" w:cs="Arial" w:eastAsia="Arial" w:hAnsi="Arial"/>
          <w:sz w:val="22"/>
          <w:szCs w:val="22"/>
        </w:rPr>
        <w:t xml:space="preserve">The Science effort index formula is adapted for TWAU by replacing teacher-demonstration count and exercise-execution load (not applicable) with project-load and map-work (highly applicable). The formula:</w:t>
      </w:r>
    </w:p>
    <w:p>
      <w:pPr>
        <w:spacing w:after="40" w:before="80"/>
      </w:pPr>
      <w:r>
        <w:t xml:space="preserve"/>
      </w:r>
    </w:p>
    <w:p>
      <w:pPr>
        <w:spacing w:after="60" w:before="60"/>
      </w:pPr>
      <w:r>
        <w:rPr>
          <w:rFonts w:ascii="Arial" w:cs="Arial" w:eastAsia="Arial" w:hAnsi="Arial"/>
          <w:b/>
          <w:bCs/>
          <w:sz w:val="22"/>
          <w:szCs w:val="22"/>
        </w:rPr>
        <w:t xml:space="preserve">effort_index = (conceptual_demand x 3) + activity_count + (project_load x 1.5) + map_work</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400"/>
        <w:gridCol w:w="17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Definition for TWAU</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Scale</w:t>
            </w:r>
          </w:p>
        </w:tc>
        <w:tc>
          <w:tcPr>
            <w:tcW w:type="dxa" w:w="1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conceptual_demand</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 = observe/name; 2 = describe/compare/connect; 3 = explain causality/evaluate trade-offs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1-3</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x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activity_count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Count of numbered hands-on activities requiring materials or outdoor engagement (not mere discussion prompts)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integer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x 1</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project_load</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0 = no multi-session work; 1 = single multi-day activity (field visit, multi-step craft); 2 = extended multi-week project (Seasons Journal)</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0-2</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x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map_work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 if chapter has a structured map-reading or globe-tracing activity (CG-5); 0 otherwise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 or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x 1</w:t>
            </w:r>
          </w:p>
        </w:tc>
      </w:tr>
    </w:tbl>
    <w:p>
      <w:pPr>
        <w:spacing w:after="40" w:before="80"/>
      </w:pPr>
      <w:r>
        <w:t xml:space="preserve"/>
      </w:r>
    </w:p>
    <w:p>
      <w:pPr>
        <w:spacing w:after="60" w:before="60"/>
      </w:pPr>
      <w:r>
        <w:rPr>
          <w:rFonts w:ascii="Arial" w:cs="Arial" w:eastAsia="Arial" w:hAnsi="Arial"/>
          <w:sz w:val="22"/>
          <w:szCs w:val="22"/>
        </w:rPr>
        <w:t xml:space="preserve">Effort indices for the eight sample chapters (for reference and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Chapter</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cD</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pL</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mW</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Effort Index</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 Ch 3: Nature Trail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 Ch 4: Growing up with Nature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18.0</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 Ch 7: How Things Work</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 Ch 8: How Things are Made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12.5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 Ch 1: Water — Essence of Life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21.5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 Ch 2: Journey of a River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18.5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 Ch 9: Rhythms of Nature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0</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 Ch 10: Earth — Our Shared Home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15.5</w:t>
            </w:r>
          </w:p>
        </w:tc>
      </w:tr>
    </w:tbl>
    <w:p>
      <w:pPr>
        <w:spacing w:after="40" w:before="80"/>
      </w:pPr>
      <w:r>
        <w:t xml:space="preserve"/>
      </w:r>
    </w:p>
    <w:p>
      <w:pPr>
        <w:spacing w:after="60" w:before="60"/>
      </w:pPr>
      <w:r>
        <w:rPr>
          <w:rFonts w:ascii="Arial" w:cs="Arial" w:eastAsia="Arial" w:hAnsi="Arial"/>
          <w:sz w:val="22"/>
          <w:szCs w:val="22"/>
        </w:rPr>
        <w:t xml:space="preserve">These indices will drive the Allocate tab's proportional period distribution, exactly as Science and Mathematics use their effort indices.</w:t>
      </w:r>
    </w:p>
    <w:p>
      <w:r>
        <w:br w:type="page"/>
      </w:r>
    </w:p>
    <w:p>
      <w:pPr>
        <w:pStyle w:val="Heading2"/>
        <w:spacing w:after="80" w:before="240"/>
      </w:pPr>
      <w:r>
        <w:rPr>
          <w:rFonts w:ascii="Arial" w:cs="Arial" w:eastAsia="Arial" w:hAnsi="Arial"/>
          <w:b/>
          <w:bCs/>
          <w:sz w:val="28"/>
          <w:szCs w:val="28"/>
        </w:rPr>
        <w:t xml:space="preserve">4.2 LP Organising Principle: Two-Axis Structure (Sections x Learning Modes)</w:t>
      </w:r>
    </w:p>
    <w:p>
      <w:pPr>
        <w:spacing w:after="60" w:before="60"/>
      </w:pPr>
      <w:r>
        <w:rPr>
          <w:rFonts w:ascii="Arial" w:cs="Arial" w:eastAsia="Arial" w:hAnsi="Arial"/>
          <w:sz w:val="22"/>
          <w:szCs w:val="22"/>
        </w:rPr>
        <w:t xml:space="preserve">Each TWAU chapter LP has two organising dimensions:</w:t>
      </w:r>
    </w:p>
    <w:p>
      <w:pPr>
        <w:pStyle w:val="ListParagraph"/>
        <w:numPr>
          <w:ilvl w:val="0"/>
          <w:numId w:val="2"/>
        </w:numPr>
        <w:spacing w:after="40" w:before="40"/>
      </w:pPr>
      <w:r>
        <w:rPr>
          <w:rFonts w:ascii="Arial" w:cs="Arial" w:eastAsia="Arial" w:hAnsi="Arial"/>
          <w:sz w:val="22"/>
          <w:szCs w:val="22"/>
        </w:rPr>
        <w:t xml:space="preserve">Axis 1 (Sections): Named content sections within the chapter, walked in textbook order. Each section corresponds to a cluster of related content and activities.</w:t>
      </w:r>
    </w:p>
    <w:p>
      <w:pPr>
        <w:pStyle w:val="ListParagraph"/>
        <w:numPr>
          <w:ilvl w:val="0"/>
          <w:numId w:val="2"/>
        </w:numPr>
        <w:spacing w:after="40" w:before="40"/>
      </w:pPr>
      <w:r>
        <w:rPr>
          <w:rFonts w:ascii="Arial" w:cs="Arial" w:eastAsia="Arial" w:hAnsi="Arial"/>
          <w:sz w:val="22"/>
          <w:szCs w:val="22"/>
        </w:rPr>
        <w:t xml:space="preserve">Axis 2 (Learning Modes): The type of learning process active within each period. Five modes are defined, derived from the TWAU NCF pedagogy section.</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60"/>
        <w:gridCol w:w="360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Mode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Code</w:t>
            </w:r>
          </w:p>
        </w:tc>
        <w:tc>
          <w:tcPr>
            <w:tcW w:type="dxa" w:w="3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Definition</w:t>
            </w:r>
          </w:p>
        </w:tc>
        <w:tc>
          <w:tcPr>
            <w:tcW w:type="dxa" w:w="3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Example Activities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Observe and Record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O&amp;R</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Structured observation with recording — filling tables, bird diary, footprint tracing, leaf study. CG-1.1, CG-6.1</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 Ch 3 Bird Diary; IV Ch 3 Leaf Observation Table; V Ch 1 Aquatic Animal Comparison 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Hands-on Inquiry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Experiments, making and testing objects, material investigations. CG-7.1, CG-6.1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 Ch 7 Spinner experiments; IV Ch 7 Float/Sink table; V Ch 1 Water Cycle Bag; IV Ch 8 Recycled Paper Making</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Discuss and Connect</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D&amp;C</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Peer discussion, elder interviews, map tracing, cultural connections, story-sharing. CG-1.2, CG-2.2, CG-2.3</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 Ch 9 Festival-Season matching; V Ch 2 River-dependency discussion; V Ch 10 India's global gifts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Create and Express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C&amp;E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Making models, posters, diaries, role-plays, crafts, drawing. CG-1.5, CG-6.2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IV Ch 3 Web of Life role-play; IV Ch 4 House model from natural materials; V Ch 2 Flood safety poster; V Ch 10 Bird migration postcard</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Reflect and Apply</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R&amp;A</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End-of-chapter reflections, conservation design, safety planning, personal pledges. CG-4.4, CG-4.7, CG-3.2, CG-3.3</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 Ch 1 Design a water-conserving school; V Ch 2 Three things to protect a water body; IV Ch 8 Personal 5Rs plan</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thick" w:color="E67E22" w:sz="12"/>
              <w:bottom w:val="single" w:color="E67E22" w:sz="1"/>
              <w:right w:val="single" w:color="E67E22" w:sz="1"/>
            </w:tcBorders>
            <w:shd w:fill="E8F4FD" w:val="clear"/>
            <w:tcMar>
              <w:top w:type="dxa" w:w="100"/>
              <w:left w:type="dxa" w:w="200"/>
              <w:bottom w:type="dxa" w:w="100"/>
              <w:right w:type="dxa" w:w="120"/>
            </w:tcMar>
          </w:tcPr>
          <w:p>
            <w:pPr>
              <w:spacing w:after="20" w:before="40"/>
            </w:pPr>
            <w:r>
              <w:rPr>
                <w:rFonts w:ascii="Arial" w:cs="Arial" w:eastAsia="Arial" w:hAnsi="Arial"/>
                <w:b/>
                <w:bCs/>
                <w:sz w:val="22"/>
                <w:szCs w:val="22"/>
              </w:rPr>
              <w:t xml:space="preserve">LP JSON Structure (Proposed):</w:t>
            </w:r>
          </w:p>
          <w:p>
            <w:pPr>
              <w:spacing w:after="40" w:before="20"/>
            </w:pPr>
            <w:r>
              <w:rPr>
                <w:rFonts w:ascii="Arial" w:cs="Arial" w:eastAsia="Arial" w:hAnsi="Arial"/>
                <w:sz w:val="22"/>
                <w:szCs w:val="22"/>
              </w:rPr>
              <w:t xml:space="preserve">chapter_meta (number, title, unit, grade, dominant_cg_codes, effort_index) -&gt; sections[] -&gt; each section: {section_title, dominant_mode, textbook_anchor, cg_codes[]} -&gt; periods[] -&gt; each period: {period_number, mode, textbook_anchor, implied_lo, teacher_facilitation_note, indian_knowledge_element (if present)}</w:t>
            </w:r>
          </w:p>
        </w:tc>
      </w:tr>
    </w:tbl>
    <w:p>
      <w:pPr>
        <w:spacing w:after="40" w:before="80"/>
      </w:pPr>
      <w:r>
        <w:t xml:space="preserve"/>
      </w:r>
    </w:p>
    <w:p>
      <w:pPr>
        <w:pStyle w:val="Heading2"/>
        <w:spacing w:after="80" w:before="240"/>
      </w:pPr>
      <w:r>
        <w:rPr>
          <w:rFonts w:ascii="Arial" w:cs="Arial" w:eastAsia="Arial" w:hAnsi="Arial"/>
          <w:b/>
          <w:bCs/>
          <w:sz w:val="28"/>
          <w:szCs w:val="28"/>
        </w:rPr>
        <w:t xml:space="preserve">4.3 Assessment Organising Principle: LP Implied-LO Handoff</w:t>
      </w:r>
    </w:p>
    <w:p>
      <w:pPr>
        <w:spacing w:after="60" w:before="60"/>
      </w:pPr>
      <w:r>
        <w:rPr>
          <w:rFonts w:ascii="Arial" w:cs="Arial" w:eastAsia="Arial" w:hAnsi="Arial"/>
          <w:sz w:val="22"/>
          <w:szCs w:val="22"/>
        </w:rPr>
        <w:t xml:space="preserve">Assessment follows the same LP handoff architecture used in English and Social Sciences: the LP generates one implied_lo per period, and the assessment generates one original question per implied_lo. This prevents textbook exercise recycling and ensures LP-assessment coherence.</w:t>
      </w:r>
    </w:p>
    <w:p>
      <w:pPr>
        <w:spacing w:after="60" w:before="60"/>
      </w:pPr>
      <w:r>
        <w:rPr>
          <w:rFonts w:ascii="Arial" w:cs="Arial" w:eastAsia="Arial" w:hAnsi="Arial"/>
          <w:sz w:val="22"/>
          <w:szCs w:val="22"/>
        </w:rPr>
        <w:t xml:space="preserve">TWAU's dual-strand nature (natural phenomenon + human-cultural response) requires assessment questions to explicitly balance factual knowledge with empathy and values-based reasoning. The dominant CG-strand of each section determines the permitted question types: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Dominant CG-strand</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 Types</w:t>
            </w:r>
          </w:p>
        </w:tc>
        <w:tc>
          <w:tcPr>
            <w:tcW w:type="dxa" w:w="4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CG-1 / CG-6 / CG-7 (Inquiry and Observation)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DESCRIBE_OBSERVE, PREDICT_EXPLAIN</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Describe what would happen if you dropped a hollow steel cup versus a solid stone ball into water. What would you predict and 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CG-2 (Interdependence)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CONNECT_EXPLAIN, OPEN_TASK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Why do you think people have always built settlements near rivers? What would change if the river disappeared from a community that depends on it?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CG-3 (Safety)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ROLEPLAY_SCENARIO, MCQ</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You are the Sarpanch of a flood-prone village. List three actions you would take before the monsoon season begins to protect your community.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CG-4 (Environmental Sensitivity)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EVALUATE_CHOICE, DESIGN_CHALLENGE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Your school wants to reduce paper waste. Design a one-week 5Rs plan for your classroom with one concrete action per 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CG-5 (Maps)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MAP_READING, TRACE_ACTIVITY</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Look at the map of the Godavari river. In which direction does it generally flow from Nashik? Name two states it crosses before reaching the Bay of Bengal.</w:t>
            </w:r>
          </w:p>
        </w:tc>
      </w:tr>
    </w:tbl>
    <w:p>
      <w:pPr>
        <w:spacing w:after="40" w:before="80"/>
      </w:pPr>
      <w:r>
        <w:t xml:space="preserve"/>
      </w:r>
    </w:p>
    <w:p>
      <w:pPr>
        <w:spacing w:after="60" w:before="60"/>
      </w:pPr>
      <w:r>
        <w:rPr>
          <w:rFonts w:ascii="Arial" w:cs="Arial" w:eastAsia="Arial" w:hAnsi="Arial"/>
          <w:sz w:val="22"/>
          <w:szCs w:val="22"/>
        </w:rPr>
        <w:t xml:space="preserve">Every TWAU assessment question must include a teacher_guide with two fields: what_to_look_for (factual anchor) and inclusion_note (how to accept regionally or culturally varied answers, since TWAU content explicitly celebrates India's diversity — correct seasonal crops, festivals, and local water body names will differ by region).</w:t>
      </w:r>
    </w:p>
    <w:p>
      <w:r>
        <w:br w:type="page"/>
      </w:r>
    </w:p>
    <w:p>
      <w:pPr>
        <w:pStyle w:val="Heading1"/>
        <w:spacing w:after="120" w:before="360"/>
      </w:pPr>
      <w:r>
        <w:rPr>
          <w:rFonts w:ascii="Arial" w:cs="Arial" w:eastAsia="Arial" w:hAnsi="Arial"/>
          <w:b/>
          <w:bCs/>
          <w:sz w:val="32"/>
          <w:szCs w:val="32"/>
        </w:rPr>
        <w:t xml:space="preserve">5. Chapter-Level Cognitive Profiles</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Each profile provides the transformation inventory for one chapter: dominant CG strands, effort index components, sections for LP, sample implied learning outcomes, and assessment targeting guidance. These profiles are the direct input to chapter summary JSON generation.</w:t>
      </w:r>
    </w:p>
    <w:p>
      <w:pPr>
        <w:pStyle w:val="Heading2"/>
        <w:spacing w:after="80" w:before="240"/>
      </w:pPr>
      <w:r>
        <w:rPr>
          <w:rFonts w:ascii="Arial" w:cs="Arial" w:eastAsia="Arial" w:hAnsi="Arial"/>
          <w:b/>
          <w:bCs/>
          <w:sz w:val="28"/>
          <w:szCs w:val="28"/>
        </w:rPr>
        <w:t xml:space="preserve">5.1 Grade IV — Unit 2: Life Around Us</w:t>
      </w:r>
    </w:p>
    <w:p>
      <w:pPr>
        <w:pStyle w:val="Heading3"/>
        <w:spacing w:after="60" w:before="200"/>
      </w:pPr>
      <w:r>
        <w:rPr>
          <w:rFonts w:ascii="Arial" w:cs="Arial" w:eastAsia="Arial" w:hAnsi="Arial"/>
          <w:b/>
          <w:bCs/>
          <w:sz w:val="24"/>
          <w:szCs w:val="24"/>
        </w:rPr>
        <w:t xml:space="preserve">Ch 3: Nature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CG-4.1 (Observes/describes diversity in plants, birds, animals) + CG-6.1 (Simple inquiry in groups)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CG-2.1 (Web of life: interdependence) + CG-4.5 (Needs of animals for survival) + CG-3.1 (Safety rules in nature)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(2x3) + 7 + (1x1.5) + 0 = 14.5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Safety Rules in Nature / Animals in Forest / Birds and Beaks / Aquatic Animals / Insects / Leaves and Veins / Web of Life Game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classify forest animals by habitat and feature using observed evidence. (2) Students can infer a bird's diet from the shape of its beak and claws. (3) Students can explain why removing one species from the web of life weakens the whole system.</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DESCRIBE_OBSERVE for biodiversity classification; CONNECT_EXPLAIN for web-of-life interdependence; ROLEPLAY_SCENARIO for nature-visit safety rules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State animal/bird/plant of student's own state (end-of-chapter task) — local connection activity</w:t>
            </w:r>
          </w:p>
        </w:tc>
      </w:tr>
    </w:tbl>
    <w:p>
      <w:pPr>
        <w:spacing w:after="40" w:before="80"/>
      </w:pPr>
      <w:r>
        <w:t xml:space="preserve"/>
      </w:r>
    </w:p>
    <w:p>
      <w:pPr>
        <w:pStyle w:val="Heading3"/>
        <w:spacing w:after="60" w:before="200"/>
      </w:pPr>
      <w:r>
        <w:rPr>
          <w:rFonts w:ascii="Arial" w:cs="Arial" w:eastAsia="Arial" w:hAnsi="Arial"/>
          <w:b/>
          <w:bCs/>
          <w:sz w:val="24"/>
          <w:szCs w:val="24"/>
        </w:rPr>
        <w:t xml:space="preserve">Ch 4: Growing up with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CG-2.2 (Natural environment and cultural practices: tribal art, harvest festivals) + CG-4.3/4.4 (Natural resources and conservation)</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CG-1.2 (Traditions: sacred groves, festivals honouring plants/animals) + CG-4.7 (Behavioural norms: caring for nature) + CG-3.1 (Medicinal plants as safety/health)</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(3x3) + 6 + (2x1.5) + 0 = 18.0</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Palash and Forest Flowers / Traditional Houses and Gond Art / Natural Dye Preparation / Traditional Knowledge (Grain Storage, Honey) / Medicinal Plants and First Aid / Solar Power and Electricity / Festivals Honouring Nature / Caring for the Environment</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explain how traditional house materials reflect sustainable use of local resources. (2) Students can prepare a natural dye and identify which plant part provides colour. (3) Students can describe at least two ways Indian communities historically honoured and protected nature through festivals or rituals.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EVALUATE_CHOICE for sustainability comparisons (natural vs industrial materials); DESIGN_CHALLENGE for herbal garden; OPEN_TASK for cultural-nature connections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Jenu Kuruba tribe honey collection songs (Karnataka); Gond art using natural colours; Tumri grain storage (Uttarakhand); Jodhav johads (Rajasthan)</w:t>
            </w:r>
          </w:p>
        </w:tc>
      </w:tr>
    </w:tbl>
    <w:p>
      <w:pPr>
        <w:spacing w:after="40" w:before="80"/>
      </w:pPr>
      <w:r>
        <w:t xml:space="preserve"/>
      </w:r>
    </w:p>
    <w:p>
      <w:r>
        <w:br w:type="page"/>
      </w:r>
    </w:p>
    <w:p>
      <w:pPr>
        <w:pStyle w:val="Heading2"/>
        <w:spacing w:after="80" w:before="240"/>
      </w:pPr>
      <w:r>
        <w:rPr>
          <w:rFonts w:ascii="Arial" w:cs="Arial" w:eastAsia="Arial" w:hAnsi="Arial"/>
          <w:b/>
          <w:bCs/>
          <w:sz w:val="28"/>
          <w:szCs w:val="28"/>
        </w:rPr>
        <w:t xml:space="preserve">5.2 Grade IV — Unit 4: Things Around Us</w:t>
      </w:r>
    </w:p>
    <w:p>
      <w:pPr>
        <w:pStyle w:val="Heading3"/>
        <w:spacing w:after="60" w:before="200"/>
      </w:pPr>
      <w:r>
        <w:rPr>
          <w:rFonts w:ascii="Arial" w:cs="Arial" w:eastAsia="Arial" w:hAnsi="Arial"/>
          <w:b/>
          <w:bCs/>
          <w:sz w:val="24"/>
          <w:szCs w:val="24"/>
        </w:rPr>
        <w:t xml:space="preserve">Ch 7: How Things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CG-7.1 (Scientific method: observe, hypothesise, test, record) + CG-6.1 (Simple inquiry in groups)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CG-1.5 (Create simple objects: custom spinner, boat designs) + CG-4.3 (Properties of materials: what determines float/sink)</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(2x3) + 5 + (1x1.5) + 0 = 12.5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Spinning (Coins, Bangles, Tops) / Making and Testing Spinners / Floating and Sinking: Prediction and Observation / Shape and Floating (Aluminium Foil) / Boat Design and Exhibition</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predict whether an object will float or sink and test their prediction. (2) Students can explain why shape — not only weight — determines whether an object floats. (3) Students can design a boat using available materials and evaluate its strengths and limitations.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PREDICT_EXPLAIN for float/sink experiments; DESIGN_CHALLENGE for boat improvement; DESCRIBE_OBSERVE for spinner behaviour — CG-7.1 inquiry process is the primary assessment target, not just the factual outcome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Charkha (spinning wheel) — Mahatma Gandhi's use in cloth-making; clay lattu (traditional spinning top)</w:t>
            </w:r>
          </w:p>
        </w:tc>
      </w:tr>
    </w:tbl>
    <w:p>
      <w:pPr>
        <w:spacing w:after="40" w:before="80"/>
      </w:pPr>
      <w:r>
        <w:t xml:space="preserve"/>
      </w:r>
    </w:p>
    <w:p>
      <w:pPr>
        <w:pStyle w:val="Heading3"/>
        <w:spacing w:after="60" w:before="200"/>
      </w:pPr>
      <w:r>
        <w:rPr>
          <w:rFonts w:ascii="Arial" w:cs="Arial" w:eastAsia="Arial" w:hAnsi="Arial"/>
          <w:b/>
          <w:bCs/>
          <w:sz w:val="24"/>
          <w:szCs w:val="24"/>
        </w:rPr>
        <w:t xml:space="preserve">Ch 8: How Things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CG-4.3/4.4 (Natural resources, conservation: paper from trees; recycling reduces depletion) + CG-6.2 (Present findings: natural colour experiment results)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CG-1.5 (Create objects: recycled paper, greeting cards, masks) + CG-4.7 (Behavioural norms: 5Rs as daily practice) + CG-7.2 (Material properties: different paper types and their uses)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(2x3) + 5 + (1x1.5) + 0 = 12.5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Paper Comes from Trees / Making Recycled Paper / Natural Dye Experiment on Paper / Different Paper Types and Uses / 5Rs of Waste Management / Creative Uses of Recycled Paper</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describe the connection between paper production and forest loss. (2) Students can classify waste-reduction actions using the 5Rs framework. (3) Students can make recycled paper and explain why it differs in texture and colour from commercial paper.</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MCQ for 5Rs classification; EVALUATE_CHOICE for waste reduction scenarios; DESIGN_CHALLENGE for creative paper reuse; CONNECT_EXPLAIN for tree-paper-conservation chain</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Talapatra (palm leaf writing); banana fibre paper as alternative; Braille paper for inclusion</w:t>
            </w:r>
          </w:p>
        </w:tc>
      </w:tr>
    </w:tbl>
    <w:p>
      <w:pPr>
        <w:spacing w:after="40" w:before="80"/>
      </w:pPr>
      <w:r>
        <w:t xml:space="preserve"/>
      </w:r>
    </w:p>
    <w:p>
      <w:r>
        <w:br w:type="page"/>
      </w:r>
    </w:p>
    <w:p>
      <w:pPr>
        <w:pStyle w:val="Heading2"/>
        <w:spacing w:after="80" w:before="240"/>
      </w:pPr>
      <w:r>
        <w:rPr>
          <w:rFonts w:ascii="Arial" w:cs="Arial" w:eastAsia="Arial" w:hAnsi="Arial"/>
          <w:b/>
          <w:bCs/>
          <w:sz w:val="28"/>
          <w:szCs w:val="28"/>
        </w:rPr>
        <w:t xml:space="preserve">5.3 Grade V — Unit 1: Life Around Us</w:t>
      </w:r>
    </w:p>
    <w:p>
      <w:pPr>
        <w:pStyle w:val="Heading3"/>
        <w:spacing w:after="60" w:before="200"/>
      </w:pPr>
      <w:r>
        <w:rPr>
          <w:rFonts w:ascii="Arial" w:cs="Arial" w:eastAsia="Arial" w:hAnsi="Arial"/>
          <w:b/>
          <w:bCs/>
          <w:sz w:val="24"/>
          <w:szCs w:val="24"/>
        </w:rPr>
        <w:t xml:space="preserve">Ch 1: Water — The Essence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CG-2.1 (Water cycle, river flow, groundwater as natural systems that support life) + CG-4.4 (Water conservation: groundwater recharge, responsible use)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CG-1.1 (Freshwater sources: lakes, rivers, glaciers) + CG-4.1 (Aquatic biodiversity) + CG-5.3 (India river map: direction, drainage into seas) + CG-6.1 (Inquiry activities)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(3x3) + 10 + (1x1.5) + 1 = 21.5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Freshwater vs Saltwater (Sources of Water) / Forms of Water (Solid, Liquid, Vapour) / Water Cycle / Groundwater and Recharge / Surface Water and River Flow / India's Rivers (Map Work) / Life in Freshwater Habitats / Food Chain in Water</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explain how the water cycle moves water between oceans, air, and land in a continuous loop. (2) Students can describe why cities with more concrete surfaces have lower groundwater levels. (3) Students can trace how a river's direction is shaped by the landform beneath it. (4) Students can compare the adaptations of land animals and water animals for their respective environments.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CONNECT_EXPLAIN for water cycle system; MAP_READING for river direction; DESCRIBE_OBSERVE for aquatic biodiversity; OPEN_TASK for water conservation school design</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Johads (Rajasthan traditional earthen dams); Wular Lake (Jammu and Kashmir) as freshwater regulator; Jal Shakti Museum (Delhi); Hiware Bazar (Maharashtra) water-positive village</w:t>
            </w:r>
          </w:p>
        </w:tc>
      </w:tr>
    </w:tbl>
    <w:p>
      <w:pPr>
        <w:spacing w:after="40" w:before="80"/>
      </w:pPr>
      <w:r>
        <w:t xml:space="preserve"/>
      </w:r>
    </w:p>
    <w:p>
      <w:pPr>
        <w:pStyle w:val="Heading3"/>
        <w:spacing w:after="60" w:before="200"/>
      </w:pPr>
      <w:r>
        <w:rPr>
          <w:rFonts w:ascii="Arial" w:cs="Arial" w:eastAsia="Arial" w:hAnsi="Arial"/>
          <w:b/>
          <w:bCs/>
          <w:sz w:val="24"/>
          <w:szCs w:val="24"/>
        </w:rPr>
        <w:t xml:space="preserve">Ch 2: Journey of a 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CG-2.1 (River as a natural system supporting lives: water supply, livelihoods, ecology) + CG-2.3 (Changes: dam impacts, pollution, flood/drought effects on communities)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CG-4.4 (River conservation) + CG-3.2 (Flood preparedness: safety planning, evacuation) + CG-5.3 (Godavari map: tributaries, dams, states, delta) + CG-4.6 (Dam displacement — equity of resource access)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(3x3) + 7 + (1x1.5) + 1 = 18.5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Godavari: Origin to Delta / River as Living Ecosystem (Wildlife, Delta, Mangroves) / How River Supports People (Water, Crops, Livelihoods) / Dams: Benefits and Trade-offs / River Pollution (Physical and Chemical) / Eutrophication / Floods and Their Effects / When a River Runs Dry</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describe the journey of Godavari from its Western Ghats source to the Bay of Bengal delta, naming key tributaries and dams. (2) Students can explain both the benefits and the costs of building a dam on a river. (3) Students can distinguish between visible pollution (plastic, waste) and hidden pollution (dissolved chemicals, fertiliser runoff). (4) Students can design a flood preparedness plan for a village with specific actions before, during, and after flooding.</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EVALUATE_CHOICE for dam trade-offs (highest-order task: multiple perspectives required); ROLEPLAY_SCENARIO for flood Sarpanch task; MAP_READING for Godavari tributaries; CONNECT_EXPLAIN for eutrophication chain</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Godavari Pushkaram festival; Coringa Mangrove Forest (sacred delta ecosystem); Namami Gange programme</w:t>
            </w:r>
          </w:p>
        </w:tc>
      </w:tr>
    </w:tbl>
    <w:p>
      <w:pPr>
        <w:spacing w:after="40" w:before="80"/>
      </w:pPr>
      <w:r>
        <w:t xml:space="preserve"/>
      </w:r>
    </w:p>
    <w:p>
      <w:r>
        <w:br w:type="page"/>
      </w:r>
    </w:p>
    <w:p>
      <w:pPr>
        <w:pStyle w:val="Heading2"/>
        <w:spacing w:after="80" w:before="240"/>
      </w:pPr>
      <w:r>
        <w:rPr>
          <w:rFonts w:ascii="Arial" w:cs="Arial" w:eastAsia="Arial" w:hAnsi="Arial"/>
          <w:b/>
          <w:bCs/>
          <w:sz w:val="28"/>
          <w:szCs w:val="28"/>
        </w:rPr>
        <w:t xml:space="preserve">5.4 Grade V — Unit 5: Our Amazing Planet</w:t>
      </w:r>
    </w:p>
    <w:p>
      <w:pPr>
        <w:pStyle w:val="Heading3"/>
        <w:spacing w:after="60" w:before="200"/>
      </w:pPr>
      <w:r>
        <w:rPr>
          <w:rFonts w:ascii="Arial" w:cs="Arial" w:eastAsia="Arial" w:hAnsi="Arial"/>
          <w:b/>
          <w:bCs/>
          <w:sz w:val="24"/>
          <w:szCs w:val="24"/>
        </w:rPr>
        <w:t xml:space="preserve">Ch 9: Rhythms of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CG-2.1 (Seasons and day/night as natural systems; Earth's rotation) + CG-2.2 (Seasonal festivals, crops, and human activities as cultural practices)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CG-1.3 (Seasonal patterns: repeating rhythms observed in the immediate environment) + CG-6.1/6.2 (Seasons journal as systematic year-long observation and creative presentation) + CG-4.2 (Cultural diversity of seasons across India's regions)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(3x3) + 4 + (2x1.5) + 0 = 16.0</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Changes Around Us (Slow, Fast, Cyclic) / Day and Night (Earth's Rotation) / Seasons Journal and Classroom Chart / India's Six Seasons / Seasons, Crops, and Festivals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explain why one side of the Earth has day while the other has night, using a torch-globe model. (2) Students can identify seasonal patterns in their local environment across plant life, animal behaviour, water bodies, weather, and human activities. (3) Students can connect specific Indian festivals to the season they celebrate and explain the agricultural or ecological reason behind that timing.</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PREDICT_EXPLAIN for day/night (CG-7.1); DESCRIBE_OBSERVE for seasonal journal summary across 5 themes; CONNECT_EXPLAIN for festival-season connection — note: accept any valid regional festival and season pair (answers will differ by state)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India's six named seasons (Vasanta through Shishir); Koel bird as monsoon indicator for Odisha farmers; Nag Panchami; Dong village (Arunachal Pradesh) as first sunrise in India</w:t>
            </w:r>
          </w:p>
        </w:tc>
      </w:tr>
    </w:tbl>
    <w:p>
      <w:pPr>
        <w:spacing w:after="40" w:before="80"/>
      </w:pPr>
      <w:r>
        <w:t xml:space="preserve"/>
      </w:r>
    </w:p>
    <w:p>
      <w:pPr>
        <w:pStyle w:val="Heading3"/>
        <w:spacing w:after="60" w:before="200"/>
      </w:pPr>
      <w:r>
        <w:rPr>
          <w:rFonts w:ascii="Arial" w:cs="Arial" w:eastAsia="Arial" w:hAnsi="Arial"/>
          <w:b/>
          <w:bCs/>
          <w:sz w:val="24"/>
          <w:szCs w:val="24"/>
        </w:rPr>
        <w:t xml:space="preserve">Ch 10: Earth — Our Shared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Primary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CG-2.3 (Connects changes in environment and lives through global historical stories) + CG-2.2 (Natural environment and cultural practices: yoga, marigold, food exchange)</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Secondary CG-strand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CG-1.2 (Traditions: Vasudhaiva Kutumbakam as a guiding principle) + CG-4.2 (Cultural diversity: Indian breeds in Brazil, global food journeys) + CG-5.3 (Globe use: tracing journeys of birds, foods, plants, animals)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Effort Index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(3x3) + 5 + (1x1.5) + 1 = 15.5</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Sections for LP (in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Earth from Space and Our Address / Nature Has No Boundaries (Migrating Rosy Starlings) / Yoga — India's Gift to the World / Chilli and Sugar: Travelling Foods / Mexican Marigold and Gir Cows / Web of Life — Earth as One Family / Vasudhaiva Kutumbakam</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Sample Implied LOs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(1) Students can trace the journey of a food or animal from its origin country to India (or vice versa) using a globe. (2) Students can explain what Vasudhaiva Kutumbakam means and give concrete examples from the chapter. (3) Students can describe how ideas, plants, animals, and practices cross borders and become part of new cultures.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Assessment 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OPEN_TASK for original travelling-object story; CONNECT_EXPLAIN for Vasudhaiva Kutumbakam with examples; MAP_READING or globe-tracing for migration routes</w:t>
            </w:r>
          </w:p>
        </w:tc>
      </w:tr>
      <w:tr>
        <w:tc>
          <w:tcPr>
            <w:tcW w:type="dxa" w:w="22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spacing w:after="40" w:before="40"/>
            </w:pPr>
            <w:r>
              <w:rPr>
                <w:rFonts w:ascii="Arial" w:cs="Arial" w:eastAsia="Arial" w:hAnsi="Arial"/>
                <w:b/>
                <w:bCs/>
                <w:sz w:val="22"/>
                <w:szCs w:val="22"/>
              </w:rPr>
              <w:t xml:space="preserve">IKS Element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Yoga (3,000+ years old, UN International Yoga Day); Indian spices as early trade exports; Gir/Kankrej/Ongole cattle in Brazil; Ayurveda; chess and snakes-and-ladders originating in India</w:t>
            </w:r>
          </w:p>
        </w:tc>
      </w:tr>
    </w:tbl>
    <w:p>
      <w:pPr>
        <w:spacing w:after="40" w:before="80"/>
      </w:pPr>
      <w:r>
        <w:t xml:space="preserve"/>
      </w:r>
    </w:p>
    <w:p>
      <w:r>
        <w:br w:type="page"/>
      </w:r>
    </w:p>
    <w:p>
      <w:pPr>
        <w:pStyle w:val="Heading1"/>
        <w:spacing w:after="120" w:before="360"/>
      </w:pPr>
      <w:r>
        <w:rPr>
          <w:rFonts w:ascii="Arial" w:cs="Arial" w:eastAsia="Arial" w:hAnsi="Arial"/>
          <w:b/>
          <w:bCs/>
          <w:sz w:val="32"/>
          <w:szCs w:val="32"/>
        </w:rPr>
        <w:t xml:space="preserve">6. Implementation Architecture</w:t>
      </w:r>
    </w:p>
    <w:p>
      <w:pPr>
        <w:pBdr>
          <w:bottom w:val="single" w:color="1F5C99" w:sz="6" w:space="1"/>
        </w:pBdr>
        <w:spacing w:after="80" w:before="80"/>
      </w:pPr>
      <w:r>
        <w:t xml:space="preserve"/>
      </w:r>
    </w:p>
    <w:p>
      <w:pPr>
        <w:pStyle w:val="Heading2"/>
        <w:spacing w:after="80" w:before="240"/>
      </w:pPr>
      <w:r>
        <w:rPr>
          <w:rFonts w:ascii="Arial" w:cs="Arial" w:eastAsia="Arial" w:hAnsi="Arial"/>
          <w:b/>
          <w:bCs/>
          <w:sz w:val="28"/>
          <w:szCs w:val="28"/>
        </w:rPr>
        <w:t xml:space="preserve">6.1 Chapter Summary JSON Schema</w:t>
      </w:r>
    </w:p>
    <w:p>
      <w:pPr>
        <w:spacing w:after="60" w:before="60"/>
      </w:pPr>
      <w:r>
        <w:rPr>
          <w:rFonts w:ascii="Arial" w:cs="Arial" w:eastAsia="Arial" w:hAnsi="Arial"/>
          <w:sz w:val="22"/>
          <w:szCs w:val="22"/>
        </w:rPr>
        <w:t xml:space="preserve">TWAU chapter summaries must use JSON format (like Mathematics and English), not .txt. The two-axis LP requires machine-readable sections data. Add 'twau' to _JSON_SUMMARY_SUBJECTS in app.py.</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chapter_number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integer</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e.g.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chapter_title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Full title exactly as printed in textbook</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unit_number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integer</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Unit within the grade (1-5 for Grade 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unit_theme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e.g. 'Life Around Us', 'Things Around Us'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grade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 or 'v'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dominant_cg_codes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Primary 1-2 CG codes that architecturally define the chapter, e.g. ['CG-2', 'CG-4']</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effort_index</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float</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Calculated from formula in Section 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effort_components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{conceptual_demand (1-3), activity_count (int), project_load (0-2), map_work (0 or 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sections[]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array</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Ordered list of named content sections in the chapter (in textbook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  section_title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Section heading as used in the textbook</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  dominant_mode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Primary learning mode: O&amp;R / HI / D&amp;C / C&amp;E / R&amp;A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  dominant_cg_codes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Specific C-codes active in this section (not incidental)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  key_activities[]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Named activities or inquiry tasks in this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  content_summary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2-3 sentence summary of conceptual content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  indian_knowledge_element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 or null</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Any IKS or cultural element present in this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chapter_level_summary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3-4 sentence overall chapter summary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key_vocabulary[]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10-15 key terms from the chapter</w:t>
            </w:r>
          </w:p>
        </w:tc>
      </w:tr>
    </w:tbl>
    <w:p>
      <w:pPr>
        <w:spacing w:after="40" w:before="80"/>
      </w:pPr>
      <w:r>
        <w:t xml:space="preserve"/>
      </w:r>
    </w:p>
    <w:p>
      <w:pPr>
        <w:pStyle w:val="Heading2"/>
        <w:spacing w:after="80" w:before="240"/>
      </w:pPr>
      <w:r>
        <w:rPr>
          <w:rFonts w:ascii="Arial" w:cs="Arial" w:eastAsia="Arial" w:hAnsi="Arial"/>
          <w:b/>
          <w:bCs/>
          <w:sz w:val="28"/>
          <w:szCs w:val="28"/>
        </w:rPr>
        <w:t xml:space="preserve">6.2 Chapter Mapping JSON Schema (Feeds Allocate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chapter_number, chapter_title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integer, 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Must match summary file exactly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effort_index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From summary — drives Allocate tab proportional period distribution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cg_strand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Primary CG code e.g. 'CG-2'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co_cg_strand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 or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Secondary CG code if clearly present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competencies[]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array</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Flat array of all C-codes active in this chapter (no weights — TWAU uses effort index, not competency weights, for 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e.g. 'C-2.1'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  description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How this C-code manifests specifically in this chapter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  section_evidence[]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Section titles where this C-code is architecturally active (not incidental)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chapter_weight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integer</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effort_index rounded to nearest integer — used by Allocate tab display</w:t>
            </w:r>
          </w:p>
        </w:tc>
      </w:tr>
    </w:tbl>
    <w:p>
      <w:pPr>
        <w:spacing w:after="40" w:before="80"/>
      </w:pPr>
      <w:r>
        <w:t xml:space="preserve"/>
      </w:r>
    </w:p>
    <w:p>
      <w:pPr>
        <w:pStyle w:val="Heading2"/>
        <w:spacing w:after="80" w:before="240"/>
      </w:pPr>
      <w:r>
        <w:rPr>
          <w:rFonts w:ascii="Arial" w:cs="Arial" w:eastAsia="Arial" w:hAnsi="Arial"/>
          <w:b/>
          <w:bCs/>
          <w:sz w:val="28"/>
          <w:szCs w:val="28"/>
        </w:rPr>
        <w:t xml:space="preserve">6.3 Constitutions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Critical Rules to Include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chapter_summary_twau.md (cowork prompt)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Generates chapter_summary.json for each TWAU chapter</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Anchor strictly to named section headings; prohibit content not verifiable from the textbook; include sections[] in textbook order; activity_count counts only hands-on numbered activities, not discussion prompts; verify chapter_title matches textbook opening heading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competency_mapping_twau.md (cowork prompt)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Generates ch_XX_mapping.json with effort index and C-codes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Two-pass methodology (transformation inventory before CG-code matching); CG-code requires named section evidence; incidental mention does not qualify; verify chapter_number and title match the summary file; record section_evidence for every C-code assigned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lp_constitution_twau.txt</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Drives LP JSON generation in the Generate tab</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Two-axis structure (sections x modes); 5 permitted modes only; textbook_anchor mandatory per period; IKS element must appear in at least one period per chapter; teacher_facilitation_note mandatory; cap at 5 periods per chapter for Grade IV, 6 for Grade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assessment_constitution_twau.txt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Drives assessment JSON generation in the Generate tab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One question per LP implied_lo; question type determined by dominant CG-strand of section; prohibit textbook exercise recycling; inclusion_note mandatory on every question (accept regionally varied answers); teacher_guide must include what_to_look_for + inclusion_note; no C-code labels in the student-facing question</w:t>
            </w:r>
          </w:p>
        </w:tc>
      </w:tr>
    </w:tbl>
    <w:p>
      <w:pPr>
        <w:spacing w:after="40" w:before="80"/>
      </w:pPr>
      <w:r>
        <w:t xml:space="preserve"/>
      </w:r>
    </w:p>
    <w:p>
      <w:r>
        <w:br w:type="page"/>
      </w:r>
    </w:p>
    <w:p>
      <w:pPr>
        <w:pStyle w:val="Heading2"/>
        <w:spacing w:after="80" w:before="240"/>
      </w:pPr>
      <w:r>
        <w:rPr>
          <w:rFonts w:ascii="Arial" w:cs="Arial" w:eastAsia="Arial" w:hAnsi="Arial"/>
          <w:b/>
          <w:bCs/>
          <w:sz w:val="28"/>
          <w:szCs w:val="28"/>
        </w:rPr>
        <w:t xml:space="preserve">6.4 Pipeline Steps for TWAU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rPr>
          <w:tblHeader/>
        </w:trPr>
        <w:tc>
          <w:tcPr>
            <w:tcW w:type="dxa" w:w="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Output</w:t>
            </w:r>
          </w:p>
        </w:tc>
        <w:tc>
          <w:tcPr>
            <w:tcW w:type="dxa" w:w="3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Run chapter_summary_twau.md cowork prompt for each chapter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mirror/chapters/twau/{grade}/summaries/ch_XX_summary.json</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JSON format; add 'twau' to _JSON_SUMMARY_SUBJECTS in app.py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Run competency_mapping_twau.md cowork prompt for each chapter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mirror/chapters/twau/{grade}/mappings/ch_XX_mapping.json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Effort index drives allocate tab; validate dominant_cg_codes match summary</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3a</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Verify Allocate tab displays TWAU chapters correctly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Allocate tab in Streamlit app</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Effort-index proportional bar chart; same display as Science and Mathematics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3b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Generate LP for one pilot chapter per unit per 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HTML and PDF lesson plan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Verify: sections in textbook order; mode badges present; IKS element appears; teacher note present</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3c</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Generate Assessment for pilot chapter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HTML and PDF assessment</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Verify: question type matches CG-strand; no textbook exercise recycling; inclusion_note present on every question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Expand to all 10 chapters per grade (IV then 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Full mirror coverage for both grades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Grade III TWAU to be addressed separately after Grade IV-V pipeline is stable</w:t>
            </w:r>
          </w:p>
        </w:tc>
      </w:tr>
    </w:tbl>
    <w:p>
      <w:pPr>
        <w:spacing w:after="40" w:before="80"/>
      </w:pPr>
      <w:r>
        <w:t xml:space="preserve"/>
      </w:r>
    </w:p>
    <w:p>
      <w:pPr>
        <w:pStyle w:val="Heading2"/>
        <w:spacing w:after="80" w:before="240"/>
      </w:pPr>
      <w:r>
        <w:rPr>
          <w:rFonts w:ascii="Arial" w:cs="Arial" w:eastAsia="Arial" w:hAnsi="Arial"/>
          <w:b/>
          <w:bCs/>
          <w:sz w:val="28"/>
          <w:szCs w:val="28"/>
        </w:rPr>
        <w:t xml:space="preserve">6.5 app.py Changes Required</w:t>
      </w:r>
    </w:p>
    <w:p>
      <w:pPr>
        <w:pStyle w:val="ListParagraph"/>
        <w:numPr>
          <w:ilvl w:val="0"/>
          <w:numId w:val="2"/>
        </w:numPr>
        <w:spacing w:after="40" w:before="40"/>
      </w:pPr>
      <w:r>
        <w:rPr>
          <w:rFonts w:ascii="Arial" w:cs="Arial" w:eastAsia="Arial" w:hAnsi="Arial"/>
          <w:sz w:val="22"/>
          <w:szCs w:val="22"/>
        </w:rPr>
        <w:t xml:space="preserve">Add 'twau' to _JSON_SUMMARY_SUBJECTS set (chapter summaries are JSON not .txt)</w:t>
      </w:r>
    </w:p>
    <w:p>
      <w:pPr>
        <w:pStyle w:val="ListParagraph"/>
        <w:numPr>
          <w:ilvl w:val="0"/>
          <w:numId w:val="2"/>
        </w:numPr>
        <w:spacing w:after="40" w:before="40"/>
      </w:pPr>
      <w:r>
        <w:rPr>
          <w:rFonts w:ascii="Arial" w:cs="Arial" w:eastAsia="Arial" w:hAnsi="Arial"/>
          <w:sz w:val="22"/>
          <w:szCs w:val="22"/>
        </w:rPr>
        <w:t xml:space="preserve">Add 'twau' to the subject selector dropdown in the Streamlit UI</w:t>
      </w:r>
    </w:p>
    <w:p>
      <w:pPr>
        <w:pStyle w:val="ListParagraph"/>
        <w:numPr>
          <w:ilvl w:val="0"/>
          <w:numId w:val="2"/>
        </w:numPr>
        <w:spacing w:after="40" w:before="40"/>
      </w:pPr>
      <w:r>
        <w:rPr>
          <w:rFonts w:ascii="Arial" w:cs="Arial" w:eastAsia="Arial" w:hAnsi="Arial"/>
          <w:sz w:val="22"/>
          <w:szCs w:val="22"/>
        </w:rPr>
        <w:t xml:space="preserve">Add TWAU-specific LP and assessment constitution paths to aruvi_config.json</w:t>
      </w:r>
    </w:p>
    <w:p>
      <w:pPr>
        <w:pStyle w:val="ListParagraph"/>
        <w:numPr>
          <w:ilvl w:val="0"/>
          <w:numId w:val="2"/>
        </w:numPr>
        <w:spacing w:after="40" w:before="40"/>
      </w:pPr>
      <w:r>
        <w:rPr>
          <w:rFonts w:ascii="Arial" w:cs="Arial" w:eastAsia="Arial" w:hAnsi="Arial"/>
          <w:sz w:val="22"/>
          <w:szCs w:val="22"/>
        </w:rPr>
        <w:t xml:space="preserve">Add the 5 TWAU learning mode codes (O&amp;R, HI, D&amp;C, C&amp;E, R&amp;A) to the LP period card display — these replace progression_stage used in Science for the same visual role</w:t>
      </w:r>
    </w:p>
    <w:p>
      <w:pPr>
        <w:pStyle w:val="ListParagraph"/>
        <w:numPr>
          <w:ilvl w:val="0"/>
          <w:numId w:val="2"/>
        </w:numPr>
        <w:spacing w:after="40" w:before="40"/>
      </w:pPr>
      <w:r>
        <w:rPr>
          <w:rFonts w:ascii="Arial" w:cs="Arial" w:eastAsia="Arial" w:hAnsi="Arial"/>
          <w:sz w:val="22"/>
          <w:szCs w:val="22"/>
        </w:rPr>
        <w:t xml:space="preserve">Add TWAU assessment question types (DESCRIBE_OBSERVE, PREDICT_EXPLAIN, CONNECT_EXPLAIN, EVALUATE_CHOICE, DESIGN_CHALLENGE, MAP_READING, ROLEPLAY_SCENARIO, OPEN_TASK, MCQ) to TYPE_ORDER in assessment_pdf_generator.py</w:t>
      </w:r>
    </w:p>
    <w:p>
      <w:pPr>
        <w:pStyle w:val="ListParagraph"/>
        <w:numPr>
          <w:ilvl w:val="0"/>
          <w:numId w:val="2"/>
        </w:numPr>
        <w:spacing w:after="40" w:before="40"/>
      </w:pPr>
      <w:r>
        <w:rPr>
          <w:rFonts w:ascii="Arial" w:cs="Arial" w:eastAsia="Arial" w:hAnsi="Arial"/>
          <w:sz w:val="22"/>
          <w:szCs w:val="22"/>
        </w:rPr>
        <w:t xml:space="preserve">Extend the teacher_guide display to render the inclusion_note field for TWAU questions</w:t>
      </w:r>
    </w:p>
    <w:p>
      <w:pPr>
        <w:pStyle w:val="ListParagraph"/>
        <w:numPr>
          <w:ilvl w:val="0"/>
          <w:numId w:val="2"/>
        </w:numPr>
        <w:spacing w:after="40" w:before="40"/>
      </w:pPr>
      <w:r>
        <w:rPr>
          <w:rFonts w:ascii="Arial" w:cs="Arial" w:eastAsia="Arial" w:hAnsi="Arial"/>
          <w:sz w:val="22"/>
          <w:szCs w:val="22"/>
        </w:rPr>
        <w:t xml:space="preserve">visual_stimulus for TWAU: primarily pipe-table format (no SVG expected) — existing Science/SS pipe-table rendering handles this; no new renderer branch needed</w:t>
      </w:r>
    </w:p>
    <w:p>
      <w:r>
        <w:br w:type="page"/>
      </w:r>
    </w:p>
    <w:p>
      <w:pPr>
        <w:pStyle w:val="Heading1"/>
        <w:spacing w:after="120" w:before="360"/>
      </w:pPr>
      <w:r>
        <w:rPr>
          <w:rFonts w:ascii="Arial" w:cs="Arial" w:eastAsia="Arial" w:hAnsi="Arial"/>
          <w:b/>
          <w:bCs/>
          <w:sz w:val="32"/>
          <w:szCs w:val="32"/>
        </w:rPr>
        <w:t xml:space="preserve">7. Key Risks and Mitigations</w:t>
      </w:r>
    </w:p>
    <w:p>
      <w:pPr>
        <w:pBdr>
          <w:bottom w:val="single" w:color="1F5C99" w:sz="6"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LLM hallucinates content from middle-stage science or social science training data into TWAU summaries (TWAU is a new 2025 textbook, LLM training data may not include it)</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4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Chapter summary prompt must anchor strictly to named section headings and explicit textbook text. Prohibit any content not verifiable from a named section. See Learning #2 in MEMORY.md.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Multi-domain chapters make CG-code assignment ambiguous — risk of over-assigning many C-codes to every chapter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Enforce two-pass constitution methodology. A C-code requires named section evidence showing the specific cognitive operation that competency demands — thematic presence alone does not qualify. See Learnings #11 and #17.</w:t>
            </w:r>
          </w:p>
        </w:tc>
      </w:tr>
      <w:tr>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Activity-centric chapters have very high activity counts — risk of generating too many LP periods, inflating session time and cost</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c>
          <w:tcPr>
            <w:tcW w:type="dxa" w:w="4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Cap LP period count at 5 per chapter for Grade IV and 6 for Grade V. Not all activities need an explicit LP period — teacher-discretion activities can be noted in the teacher_facilitation_note without consuming a full period.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Assessment slides back to recycling textbook exercises — TWAU has rich printed activities that are tempting to reuse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Strip tasks_verbatim and question_bank from summary JSON before building the assessment prompt (Learning #26). The assessment constitution must mandate fresh context for every question grounded in the implied_lo, not the textbook activity.</w:t>
            </w:r>
          </w:p>
        </w:tc>
      </w:tr>
      <w:tr>
        <w:tc>
          <w:tcPr>
            <w:tcW w:type="dxa" w:w="3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India-diversity not reflected in assessment — seasonal, regional, and cultural answers vary significantly by state</w:t>
            </w:r>
          </w:p>
        </w:tc>
        <w:tc>
          <w:tcPr>
            <w:tcW w:type="dxa" w:w="18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MEDIUM</w:t>
            </w:r>
          </w:p>
        </w:tc>
        <w:tc>
          <w:tcPr>
            <w:tcW w:type="dxa" w:w="4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spacing w:after="40" w:before="40"/>
            </w:pPr>
            <w:r>
              <w:rPr>
                <w:rFonts w:ascii="Arial" w:cs="Arial" w:eastAsia="Arial" w:hAnsi="Arial"/>
                <w:sz w:val="22"/>
                <w:szCs w:val="22"/>
              </w:rPr>
              <w:t xml:space="preserve">Every TWAU assessment question must include an inclusion_note in the teacher_guide: 'Accept any valid regional festival / crop / local water body name as correct.' The assessment constitution must model this with examples from at least three different Indian states.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Effort index formula requires calibration across all 20 chapters after 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Run pilot on one chapter per unit per grade (4 chapters total). Compare effort-index-driven period allocation with a teacher review of period appropriateness. Adjust formula weights if needed before full run.</w:t>
            </w:r>
          </w:p>
        </w:tc>
      </w:tr>
    </w:tbl>
    <w:p>
      <w:pPr>
        <w:spacing w:after="40" w:before="80"/>
      </w:pPr>
      <w:r>
        <w:t xml:space="preserve"/>
      </w:r>
    </w:p>
    <w:p>
      <w:r>
        <w:br w:type="page"/>
      </w:r>
    </w:p>
    <w:p>
      <w:pPr>
        <w:pStyle w:val="Heading1"/>
        <w:spacing w:after="120" w:before="360"/>
      </w:pPr>
      <w:r>
        <w:rPr>
          <w:rFonts w:ascii="Arial" w:cs="Arial" w:eastAsia="Arial" w:hAnsi="Arial"/>
          <w:b/>
          <w:bCs/>
          <w:sz w:val="32"/>
          <w:szCs w:val="32"/>
        </w:rPr>
        <w:t xml:space="preserve">8. Decision Summary for Plan Mode</w:t>
      </w:r>
    </w:p>
    <w:p>
      <w:pPr>
        <w:pBdr>
          <w:bottom w:val="single" w:color="1F5C99" w:sz="6" w:space="1"/>
        </w:pBdr>
        <w:spacing w:after="80" w:before="80"/>
      </w:pPr>
      <w:r>
        <w:t xml:space="preserve"/>
      </w:r>
    </w:p>
    <w:p>
      <w:pPr>
        <w:spacing w:after="60" w:before="60"/>
      </w:pPr>
      <w:r>
        <w:rPr>
          <w:rFonts w:ascii="Arial" w:cs="Arial" w:eastAsia="Arial" w:hAnsi="Arial"/>
          <w:sz w:val="22"/>
          <w:szCs w:val="22"/>
        </w:rPr>
        <w:t xml:space="preserve">The table below is the concise decision reference for the Claude Code plan-mode prompt. Each row specifies a design decision that the plan must implement.</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Decision Area</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Summary format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JSON (not .txt)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Two-axis LP requires machine-readable sections[] array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Allocate tab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Adapted Effort Index (Science model 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Activity-count-driven weighting matches TWAU's activity-centric pedagogy; single-competency weight model (SS) does not fit multi-domain chapters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Effort index formula</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(cD x 3) + aC + (pL x 1.5) + mW</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Removes demo_count and exec_load from Science formula; adds project_load (TWAU multi-session activities) and map_work (CG-5 chapters)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LP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Two-axis: Sections x Learning Modes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Reflects TWAU's activity-centric pedagogy; English two-axis model adapted for inquiry-first preparatory stage learning</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Learning Modes (5)</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O&amp;R, HI, D&amp;C, C&amp;E, R&amp;A</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Derived from NCF TWAU pedagogy section; covers all activity types seen across 8 sample chapters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Assessment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LP implied_lo handoff (one question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Consistent with SS and English approach; prevents textbook exercise recycling; ensures LP-assessment coherence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Question type selector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Dominant CG-strand of the section</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Different CG competencies require different cognitive demands in assessment; 8 question types defined across 5 CG-strand clusters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India diversity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Mandatory inclusion_note per question in teacher_guide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TWAU explicitly celebrates regional diversity; assessment must not penalise culturally varied answers that differ by state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IKS integration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indian_knowledge_element field in summary; at least one LP period per chapter</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Every TWAU chapter contains Indian traditional knowledge or cultural elements; these must be explicitly surfaced in the LP and not lost in the AI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Constitutions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4 new files (summary prompt, mapping prompt, LP, assessment)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All TWAU-specific; no reuse of existing SS/Science constitutions due to multi-domain structure and activity-centric pedagogy</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Grades to cover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IV and V (20 chapters total)</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spacing w:after="40" w:before="40"/>
            </w:pPr>
            <w:r>
              <w:rPr>
                <w:rFonts w:ascii="Arial" w:cs="Arial" w:eastAsia="Arial" w:hAnsi="Arial"/>
                <w:sz w:val="22"/>
                <w:szCs w:val="22"/>
              </w:rPr>
              <w:t xml:space="preserve">Grade III TWAU is a simpler foundational version; extend after IV-V pipeline is stable and validated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Period caps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Grade IV: max 5 periods; Grade V: max 6 periods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2"/>
                <w:szCs w:val="22"/>
              </w:rPr>
              <w:t xml:space="preserve">Preparatory stage has shorter attention spans; activity count alone should not drive excessive period allocation</w:t>
            </w:r>
          </w:p>
        </w:tc>
      </w:tr>
    </w:tbl>
    <w:p>
      <w:pPr>
        <w:spacing w:after="40" w:before="80"/>
      </w:pPr>
      <w:r>
        <w:t xml:space="preserve"/>
      </w:r>
    </w:p>
    <w:p>
      <w:pPr>
        <w:pBdr>
          <w:bottom w:val="single" w:color="1F5C99" w:sz="6" w:space="1"/>
        </w:pBdr>
        <w:spacing w:after="80" w:before="80"/>
      </w:pPr>
      <w:r>
        <w:t xml:space="preserve"/>
      </w:r>
    </w:p>
    <w:p>
      <w:pPr>
        <w:spacing w:after="60" w:before="120"/>
        <w:jc w:val="center"/>
      </w:pPr>
      <w:r>
        <w:rPr>
          <w:rFonts w:ascii="Arial" w:cs="Arial" w:eastAsia="Arial" w:hAnsi="Arial"/>
          <w:i/>
          <w:iCs/>
          <w:color w:val="888888"/>
          <w:sz w:val="18"/>
          <w:szCs w:val="18"/>
        </w:rPr>
        <w:t xml:space="preserve">End of Document — Project Aruvi TWAU Design Report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pPr>
    <w:r>
      <w:rPr>
        <w:rFonts w:ascii="Arial" w:cs="Arial" w:eastAsia="Arial" w:hAnsi="Arial"/>
        <w:color w:val="888888"/>
        <w:sz w:val="18"/>
        <w:szCs w:val="18"/>
      </w:rPr>
      <w:t xml:space="preserve">Project Aruvi — TWAU Design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2026-05-28T05:45:35.971Z</dcterms:created>
  <dcterms:modified xsi:type="dcterms:W3CDTF">2026-05-28T05:45:35.971Z</dcterms:modified>
</cp:coreProperties>
</file>

<file path=docProps/custom.xml><?xml version="1.0" encoding="utf-8"?>
<Properties xmlns="http://schemas.openxmlformats.org/officeDocument/2006/custom-properties" xmlns:vt="http://schemas.openxmlformats.org/officeDocument/2006/docPropsVTypes"/>
</file>