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40"/>
      </w:pPr>
      <w:r>
        <w:rPr>
          <w:rFonts w:ascii="Arial" w:cs="Arial" w:eastAsia="Arial" w:hAnsi="Arial"/>
          <w:sz w:val="22"/>
          <w:szCs w:val="22"/>
        </w:rPr>
        <w:t xml:space="preserve"/>
      </w:r>
    </w:p>
    <w:p>
      <w:pPr>
        <w:spacing w:after="120" w:before="120"/>
        <w:jc w:val="center"/>
      </w:pPr>
      <w:r>
        <w:rPr>
          <w:rFonts w:ascii="Arial" w:cs="Arial" w:eastAsia="Arial" w:hAnsi="Arial"/>
          <w:b/>
          <w:bCs/>
          <w:color w:val="1F5C99"/>
          <w:sz w:val="36"/>
          <w:szCs w:val="36"/>
        </w:rPr>
        <w:t xml:space="preserve">Project Aruvi</w:t>
      </w:r>
    </w:p>
    <w:p>
      <w:pPr>
        <w:spacing w:after="60" w:before="60"/>
        <w:jc w:val="center"/>
      </w:pPr>
      <w:r>
        <w:rPr>
          <w:rFonts w:ascii="Arial" w:cs="Arial" w:eastAsia="Arial" w:hAnsi="Arial"/>
          <w:b/>
          <w:bCs/>
          <w:sz w:val="44"/>
          <w:szCs w:val="44"/>
        </w:rPr>
        <w:t xml:space="preserve">The World Around Us (TWAU)</w:t>
      </w:r>
    </w:p>
    <w:p>
      <w:pPr>
        <w:spacing w:after="120" w:before="60"/>
        <w:jc w:val="center"/>
      </w:pPr>
      <w:r>
        <w:rPr>
          <w:rFonts w:ascii="Arial" w:cs="Arial" w:eastAsia="Arial" w:hAnsi="Arial"/>
          <w:b/>
          <w:bCs/>
          <w:color w:val="4472C4"/>
          <w:sz w:val="32"/>
          <w:szCs w:val="32"/>
        </w:rPr>
        <w:t xml:space="preserve">Aruvi Architecture Design Report</w:t>
      </w:r>
    </w:p>
    <w:p>
      <w:pPr>
        <w:pBdr>
          <w:bottom w:val="single" w:color="1F5C99" w:sz="6" w:space="1"/>
        </w:pBdr>
        <w:spacing w:after="120" w:before="0"/>
      </w:pPr>
      <w:r>
        <w:t xml:space="preserve"/>
      </w:r>
    </w:p>
    <w:p>
      <w:pPr>
        <w:spacing w:after="60" w:before="120"/>
        <w:jc w:val="center"/>
      </w:pPr>
      <w:r>
        <w:rPr>
          <w:rFonts w:ascii="Arial" w:cs="Arial" w:eastAsia="Arial" w:hAnsi="Arial"/>
          <w:i/>
          <w:iCs/>
          <w:color w:val="595959"/>
          <w:sz w:val="24"/>
          <w:szCs w:val="24"/>
        </w:rPr>
        <w:t xml:space="preserve">Input Document for Claude Code — Plan Mode</w:t>
      </w:r>
    </w:p>
    <w:p>
      <w:pPr>
        <w:spacing w:after="60" w:before="60"/>
        <w:jc w:val="center"/>
      </w:pPr>
      <w:r>
        <w:rPr>
          <w:rFonts w:ascii="Arial" w:cs="Arial" w:eastAsia="Arial" w:hAnsi="Arial"/>
          <w:color w:val="595959"/>
          <w:sz w:val="22"/>
          <w:szCs w:val="22"/>
        </w:rPr>
        <w:t xml:space="preserve">Version 2.0  |  May 2026</w:t>
      </w:r>
    </w:p>
    <w:p>
      <w:r>
        <w:br w:type="page"/>
      </w:r>
    </w:p>
    <w:p>
      <w:pPr>
        <w:pStyle w:val="Heading1"/>
        <w:spacing w:after="120" w:before="360"/>
      </w:pPr>
      <w:r>
        <w:rPr>
          <w:rFonts w:ascii="Arial" w:cs="Arial" w:eastAsia="Arial" w:hAnsi="Arial"/>
          <w:b/>
          <w:bCs/>
          <w:sz w:val="32"/>
          <w:szCs w:val="32"/>
        </w:rPr>
        <w:t xml:space="preserve">1. Purpose of This Document</w:t>
      </w:r>
    </w:p>
    <w:p>
      <w:pPr>
        <w:spacing w:after="60" w:before="60"/>
      </w:pPr>
      <w:r>
        <w:rPr>
          <w:rFonts w:ascii="Arial" w:cs="Arial" w:eastAsia="Arial" w:hAnsi="Arial"/>
          <w:sz w:val="22"/>
          <w:szCs w:val="22"/>
        </w:rPr>
        <w:t xml:space="preserve">This document captures the design decisions for extending the Aruvi lesson plan and assessment pipeline to The World Around Us (TWAU), the EVS/Social Studies subject for NCERT Grades III–V. It was produced after reading representative chapters across Grades IV and V (Units 2 and 4 of Grade IV; Units 1 and 5 of Grade V) and a consistency check on Grade III Unit 3 (Chapters 7–9). It is intended as input to Claude Code plan mode to guide implementation of the TWAU pipeline.</w:t>
      </w:r>
    </w:p>
    <w:p>
      <w:pPr>
        <w:spacing w:after="60" w:before="60"/>
      </w:pPr>
      <w:r>
        <w:t xml:space="preserve"/>
      </w:r>
    </w:p>
    <w:p>
      <w:pPr>
        <w:pStyle w:val="Heading1"/>
        <w:spacing w:after="120" w:before="360"/>
      </w:pPr>
      <w:r>
        <w:rPr>
          <w:rFonts w:ascii="Arial" w:cs="Arial" w:eastAsia="Arial" w:hAnsi="Arial"/>
          <w:b/>
          <w:bCs/>
          <w:sz w:val="32"/>
          <w:szCs w:val="32"/>
        </w:rPr>
        <w:t xml:space="preserve">2. Subject Character — What Makes TWAU Distinct</w:t>
      </w:r>
    </w:p>
    <w:p>
      <w:pPr>
        <w:pStyle w:val="Heading2"/>
        <w:spacing w:after="80" w:before="240"/>
      </w:pPr>
      <w:r>
        <w:rPr>
          <w:rFonts w:ascii="Arial" w:cs="Arial" w:eastAsia="Arial" w:hAnsi="Arial"/>
          <w:b/>
          <w:bCs/>
          <w:sz w:val="28"/>
          <w:szCs w:val="28"/>
        </w:rPr>
        <w:t xml:space="preserve">2.1 Multi-Domain Integration</w:t>
      </w:r>
    </w:p>
    <w:p>
      <w:pPr>
        <w:spacing w:after="60" w:before="60"/>
      </w:pPr>
      <w:r>
        <w:rPr>
          <w:rFonts w:ascii="Arial" w:cs="Arial" w:eastAsia="Arial" w:hAnsi="Arial"/>
          <w:sz w:val="22"/>
          <w:szCs w:val="22"/>
        </w:rPr>
        <w:t xml:space="preserve">Every TWAU chapter integrates life science, earth science, social studies, and cultural studies within a single narrative. Unlike Science (single core competency per chapter) or Social Sciences (civic/historical strands), TWAU chapters are organically interdisciplinary by design. No domain hierarchy exists within a chapter.</w:t>
      </w:r>
    </w:p>
    <w:p>
      <w:pPr>
        <w:pStyle w:val="Heading2"/>
        <w:spacing w:after="80" w:before="240"/>
      </w:pPr>
      <w:r>
        <w:rPr>
          <w:rFonts w:ascii="Arial" w:cs="Arial" w:eastAsia="Arial" w:hAnsi="Arial"/>
          <w:b/>
          <w:bCs/>
          <w:sz w:val="28"/>
          <w:szCs w:val="28"/>
        </w:rPr>
        <w:t xml:space="preserve">2.2 Activity-Centric Pedagogy</w:t>
      </w:r>
    </w:p>
    <w:p>
      <w:pPr>
        <w:spacing w:after="60" w:before="60"/>
      </w:pPr>
      <w:r>
        <w:rPr>
          <w:rFonts w:ascii="Arial" w:cs="Arial" w:eastAsia="Arial" w:hAnsi="Arial"/>
          <w:sz w:val="22"/>
          <w:szCs w:val="22"/>
        </w:rPr>
        <w:t xml:space="preserve">Activities in TWAU are not appendages to text — they ARE the primary content. The chapter is built around observation tasks, hands-on experiments, field walks, art integrations, and construction activities. Teaching methodology flows from the activity, not toward it.</w:t>
      </w:r>
    </w:p>
    <w:p>
      <w:pPr>
        <w:pStyle w:val="Heading2"/>
        <w:spacing w:after="80" w:before="240"/>
      </w:pPr>
      <w:r>
        <w:rPr>
          <w:rFonts w:ascii="Arial" w:cs="Arial" w:eastAsia="Arial" w:hAnsi="Arial"/>
          <w:b/>
          <w:bCs/>
          <w:sz w:val="28"/>
          <w:szCs w:val="28"/>
        </w:rPr>
        <w:t xml:space="preserve">2.3 Local-to-Global Progression</w:t>
      </w:r>
    </w:p>
    <w:p>
      <w:pPr>
        <w:spacing w:after="60" w:before="60"/>
      </w:pPr>
      <w:r>
        <w:rPr>
          <w:rFonts w:ascii="Arial" w:cs="Arial" w:eastAsia="Arial" w:hAnsi="Arial"/>
          <w:sz w:val="22"/>
          <w:szCs w:val="22"/>
        </w:rPr>
        <w:t xml:space="preserve">Content moves from immediate, tangible, and local (Grade III) to complex, abstract, and global (Grade V). Grade III chapters deal with concrete phenomena (water sources, food, hygiene). Grade IV adds classification, material properties, and community context. Grade V introduces geological, astronomical, and cultural history concepts. The effort index formula naturally captures this as conceptual_demand rises with grade.</w:t>
      </w:r>
    </w:p>
    <w:p>
      <w:pPr>
        <w:pStyle w:val="Heading2"/>
        <w:spacing w:after="80" w:before="240"/>
      </w:pPr>
      <w:r>
        <w:rPr>
          <w:rFonts w:ascii="Arial" w:cs="Arial" w:eastAsia="Arial" w:hAnsi="Arial"/>
          <w:b/>
          <w:bCs/>
          <w:sz w:val="28"/>
          <w:szCs w:val="28"/>
        </w:rPr>
        <w:t xml:space="preserve">2.4 Dual Strand</w:t>
      </w:r>
    </w:p>
    <w:p>
      <w:pPr>
        <w:spacing w:after="60" w:before="60"/>
      </w:pPr>
      <w:r>
        <w:rPr>
          <w:rFonts w:ascii="Arial" w:cs="Arial" w:eastAsia="Arial" w:hAnsi="Arial"/>
          <w:sz w:val="22"/>
          <w:szCs w:val="22"/>
        </w:rPr>
        <w:t xml:space="preserve">Each chapter carries two intertwined strands: (a) a natural phenomenon or life-science concept, and (b) the human-cultural response to that phenomenon — conservation practices, traditional knowledge, cultural diversity, civic responsibilities. Both strands are structurally primary, not optional.</w:t>
      </w:r>
    </w:p>
    <w:p>
      <w:pPr>
        <w:pStyle w:val="Heading2"/>
        <w:spacing w:after="80" w:before="240"/>
      </w:pPr>
      <w:r>
        <w:rPr>
          <w:rFonts w:ascii="Arial" w:cs="Arial" w:eastAsia="Arial" w:hAnsi="Arial"/>
          <w:b/>
          <w:bCs/>
          <w:sz w:val="28"/>
          <w:szCs w:val="28"/>
        </w:rPr>
        <w:t xml:space="preserve">2.5 Values as Content</w:t>
      </w:r>
    </w:p>
    <w:p>
      <w:pPr>
        <w:spacing w:after="60" w:before="60"/>
      </w:pPr>
      <w:r>
        <w:rPr>
          <w:rFonts w:ascii="Arial" w:cs="Arial" w:eastAsia="Arial" w:hAnsi="Arial"/>
          <w:sz w:val="22"/>
          <w:szCs w:val="22"/>
        </w:rPr>
        <w:t xml:space="preserve">CG-4 (Towards a Sustainable and Equitable World) is not incidental in TWAU — it is a structural content goal. Environmental stewardship, regional diversity, equity, and empathy appear as named sections and activity targets, not passing mentions.</w:t>
      </w:r>
    </w:p>
    <w:p>
      <w:pPr>
        <w:pStyle w:val="Heading2"/>
        <w:spacing w:after="80" w:before="240"/>
      </w:pPr>
      <w:r>
        <w:rPr>
          <w:rFonts w:ascii="Arial" w:cs="Arial" w:eastAsia="Arial" w:hAnsi="Arial"/>
          <w:b/>
          <w:bCs/>
          <w:sz w:val="28"/>
          <w:szCs w:val="28"/>
        </w:rPr>
        <w:t xml:space="preserve">2.6 Inquiry Process as Competency</w:t>
      </w:r>
    </w:p>
    <w:p>
      <w:pPr>
        <w:spacing w:after="60" w:before="60"/>
      </w:pPr>
      <w:r>
        <w:rPr>
          <w:rFonts w:ascii="Arial" w:cs="Arial" w:eastAsia="Arial" w:hAnsi="Arial"/>
          <w:sz w:val="22"/>
          <w:szCs w:val="22"/>
        </w:rPr>
        <w:t xml:space="preserve">CG-6 (Scientific Inquiry) and CG-7 (Mathematical Reasoning) appear as process competencies across chapters. Observation-record-infer cycles are structurally built into activities, not implied by subject matter.</w:t>
      </w:r>
    </w:p>
    <w:p>
      <w:pPr>
        <w:spacing w:after="60" w:before="60"/>
      </w:pPr>
      <w:r>
        <w:t xml:space="preserve"/>
      </w:r>
    </w:p>
    <w:p>
      <w:pPr>
        <w:pStyle w:val="Heading1"/>
        <w:spacing w:after="120" w:before="360"/>
      </w:pPr>
      <w:r>
        <w:rPr>
          <w:rFonts w:ascii="Arial" w:cs="Arial" w:eastAsia="Arial" w:hAnsi="Arial"/>
          <w:b/>
          <w:bCs/>
          <w:sz w:val="32"/>
          <w:szCs w:val="32"/>
        </w:rPr>
        <w:t xml:space="preserve">3. NCF Competency Profile for TWAU</w:t>
      </w:r>
    </w:p>
    <w:p>
      <w:pPr>
        <w:pStyle w:val="Heading2"/>
        <w:spacing w:after="80" w:before="240"/>
      </w:pPr>
      <w:r>
        <w:rPr>
          <w:rFonts w:ascii="Arial" w:cs="Arial" w:eastAsia="Arial" w:hAnsi="Arial"/>
          <w:b/>
          <w:bCs/>
          <w:sz w:val="28"/>
          <w:szCs w:val="28"/>
        </w:rPr>
        <w:t xml:space="preserve">3.1 Seven CG Framework</w:t>
      </w:r>
    </w:p>
    <w:p>
      <w:pPr>
        <w:spacing w:after="60" w:before="60"/>
      </w:pPr>
      <w:r>
        <w:rPr>
          <w:rFonts w:ascii="Arial" w:cs="Arial" w:eastAsia="Arial" w:hAnsi="Arial"/>
          <w:sz w:val="22"/>
          <w:szCs w:val="22"/>
        </w:rPr>
        <w:t xml:space="preserve">TWAU draws on all 7 Curricular Goals (CG-1 through CG-7) and their 22 C-codes. Unlike Science (single dominant C-code per chapter) or Social Sciences (2–3 weighted C-codes), TWAU has a flattened weight structure — no single C-code dominates within a chapter. Typically 3–5 C-codes are active per chapter, each at comparable engagement depth.</w:t>
      </w:r>
    </w:p>
    <w:p>
      <w:pPr>
        <w:pStyle w:val="Heading2"/>
        <w:spacing w:after="80" w:before="240"/>
      </w:pPr>
      <w:r>
        <w:rPr>
          <w:rFonts w:ascii="Arial" w:cs="Arial" w:eastAsia="Arial" w:hAnsi="Arial"/>
          <w:b/>
          <w:bCs/>
          <w:sz w:val="28"/>
          <w:szCs w:val="28"/>
        </w:rPr>
        <w:t xml:space="preserve">3.2 CG Distribution Across Grades (Sample Chapters)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200"/>
        <w:gridCol w:w="1200"/>
        <w:gridCol w:w="1160"/>
        <w:gridCol w:w="1400"/>
      </w:tblGrid>
      <w:tr>
        <w:trPr>
          <w:tblHeader/>
        </w:trPr>
        <w:tc>
          <w:tcPr>
            <w:tcW w:type="dxa" w:w="1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Chapter</w:t>
            </w:r>
          </w:p>
        </w:tc>
        <w:tc>
          <w:tcPr>
            <w:tcW w:type="dxa" w:w="1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CG-1</w:t>
            </w:r>
          </w:p>
        </w:tc>
        <w:tc>
          <w:tcPr>
            <w:tcW w:type="dxa" w:w="1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CG-2</w:t>
            </w:r>
          </w:p>
        </w:tc>
        <w:tc>
          <w:tcPr>
            <w:tcW w:type="dxa" w:w="1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CG-3</w:t>
            </w:r>
          </w:p>
        </w:tc>
        <w:tc>
          <w:tcPr>
            <w:tcW w:type="dxa" w:w="1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CG-4</w:t>
            </w:r>
          </w:p>
        </w:tc>
        <w:tc>
          <w:tcPr>
            <w:tcW w:type="dxa" w:w="1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CG-5</w:t>
            </w:r>
          </w:p>
        </w:tc>
        <w:tc>
          <w:tcPr>
            <w:tcW w:type="dxa" w:w="11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CG-6</w:t>
            </w:r>
          </w:p>
        </w:tc>
        <w:tc>
          <w:tcPr>
            <w:tcW w:type="dxa" w:w="14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CG-7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IV Ch3 (Plants)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IV Ch7 (Solids/Liquids)</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
            </w:r>
          </w:p>
        </w:tc>
        <w:tc>
          <w:tcPr>
            <w:tcW w:type="dxa" w:w="1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 Ch1 (Seeds/Plants)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V Ch9 (Rocks/Soils)</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w:t>
            </w:r>
          </w:p>
        </w:tc>
        <w:tc>
          <w:tcPr>
            <w:tcW w:type="dxa" w:w="1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III Ch7 (Water)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III Ch9 (Health)</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
            </w:r>
          </w:p>
        </w:tc>
        <w:tc>
          <w:tcPr>
            <w:tcW w:type="dxa" w:w="1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
            </w:r>
          </w:p>
        </w:tc>
      </w:tr>
    </w:tbl>
    <w:p>
      <w:pPr>
        <w:spacing w:after="60" w:before="60"/>
      </w:pPr>
      <w:r>
        <w:t xml:space="preserve"/>
      </w:r>
    </w:p>
    <w:p>
      <w:pPr>
        <w:pStyle w:val="Heading2"/>
        <w:spacing w:after="80" w:before="240"/>
      </w:pPr>
      <w:r>
        <w:rPr>
          <w:rFonts w:ascii="Arial" w:cs="Arial" w:eastAsia="Arial" w:hAnsi="Arial"/>
          <w:b/>
          <w:bCs/>
          <w:sz w:val="28"/>
          <w:szCs w:val="28"/>
        </w:rPr>
        <w:t xml:space="preserve">3.3 Key Contrast with Other Subjects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pPr>
              <w:spacing w:after="40" w:before="40"/>
            </w:pPr>
            <w:r>
              <w:rPr>
                <w:rFonts w:ascii="Arial" w:cs="Arial" w:eastAsia="Arial" w:hAnsi="Arial"/>
                <w:sz w:val="20"/>
                <w:szCs w:val="20"/>
              </w:rPr>
              <w:t xml:space="preserve">Science: single dominant C-code per chapter (weight 3) → progression stages drive LP structure.</w:t>
            </w:r>
          </w:p>
          <w:p>
            <w:pPr>
              <w:spacing w:after="40" w:before="40"/>
            </w:pPr>
            <w:r>
              <w:rPr>
                <w:rFonts w:ascii="Arial" w:cs="Arial" w:eastAsia="Arial" w:hAnsi="Arial"/>
                <w:sz w:val="20"/>
                <w:szCs w:val="20"/>
              </w:rPr>
              <w:t xml:space="preserve">Social Sciences: 2–3 weighted C-codes (weight 3 / 2 / 1) → Rule 4 enforces proportional emphasis on higher-weighted Cs.</w:t>
            </w:r>
          </w:p>
          <w:p>
            <w:pPr>
              <w:spacing w:after="40" w:before="40"/>
            </w:pPr>
            <w:r>
              <w:rPr>
                <w:rFonts w:ascii="Arial" w:cs="Arial" w:eastAsia="Arial" w:hAnsi="Arial"/>
                <w:sz w:val="20"/>
                <w:szCs w:val="20"/>
              </w:rPr>
              <w:t xml:space="preserve">Mathematics / English: effort index drives allocation, with equal weight across applicable C-codes.</w:t>
            </w:r>
          </w:p>
          <w:p>
            <w:pPr>
              <w:spacing w:after="40" w:before="40"/>
            </w:pPr>
            <w:r>
              <w:rPr>
                <w:rFonts w:ascii="Arial" w:cs="Arial" w:eastAsia="Arial" w:hAnsi="Arial"/>
                <w:sz w:val="20"/>
                <w:szCs w:val="20"/>
              </w:rPr>
              <w:t xml:space="preserve">TWAU: 3–5 C-codes per chapter, ALL at comparable depth — no dominant C, no Rule 4 equivalent.</w:t>
            </w:r>
          </w:p>
          <w:p>
            <w:pPr>
              <w:spacing w:after="40" w:before="40"/>
            </w:pPr>
            <w:r>
              <w:rPr>
                <w:rFonts w:ascii="Arial" w:cs="Arial" w:eastAsia="Arial" w:hAnsi="Arial"/>
                <w:sz w:val="20"/>
                <w:szCs w:val="20"/>
              </w:rPr>
              <w:t xml:space="preserve">  → Effort index components (not C-code weights) drive period allocation.</w:t>
            </w:r>
          </w:p>
        </w:tc>
      </w:tr>
    </w:tbl>
    <w:p>
      <w:pPr>
        <w:spacing w:after="60" w:before="60"/>
      </w:pPr>
      <w:r>
        <w:t xml:space="preserve"/>
      </w:r>
    </w:p>
    <w:p>
      <w:pPr>
        <w:pStyle w:val="Heading1"/>
        <w:spacing w:after="120" w:before="360"/>
      </w:pPr>
      <w:r>
        <w:rPr>
          <w:rFonts w:ascii="Arial" w:cs="Arial" w:eastAsia="Arial" w:hAnsi="Arial"/>
          <w:b/>
          <w:bCs/>
          <w:sz w:val="32"/>
          <w:szCs w:val="32"/>
        </w:rPr>
        <w:t xml:space="preserve">4. Key Approach Decisions</w:t>
      </w:r>
    </w:p>
    <w:p>
      <w:pPr>
        <w:pStyle w:val="Heading2"/>
        <w:spacing w:after="80" w:before="240"/>
      </w:pPr>
      <w:r>
        <w:rPr>
          <w:rFonts w:ascii="Arial" w:cs="Arial" w:eastAsia="Arial" w:hAnsi="Arial"/>
          <w:b/>
          <w:bCs/>
          <w:sz w:val="28"/>
          <w:szCs w:val="28"/>
        </w:rPr>
        <w:t xml:space="preserve">4.1 Allocation: Effort Index (Not Competency Weights)</w:t>
      </w:r>
    </w:p>
    <w:p>
      <w:pPr>
        <w:spacing w:after="60" w:before="60"/>
      </w:pPr>
      <w:r>
        <w:rPr>
          <w:rFonts w:ascii="Arial" w:cs="Arial" w:eastAsia="Arial" w:hAnsi="Arial"/>
          <w:sz w:val="22"/>
          <w:szCs w:val="22"/>
        </w:rPr>
        <w:t xml:space="preserve">Because TWAU has a flattened CG weight structure, competency weights cannot drive time allocation as they do in Social Sciences. Instead, allocation follows the Science/Mathematics pattern: an effort index per chapter derived from measurable content signals.</w:t>
      </w:r>
    </w:p>
    <w:p>
      <w:pPr>
        <w:pStyle w:val="Heading3"/>
        <w:spacing w:after="60" w:before="200"/>
      </w:pPr>
      <w:r>
        <w:rPr>
          <w:rFonts w:ascii="Arial" w:cs="Arial" w:eastAsia="Arial" w:hAnsi="Arial"/>
          <w:b/>
          <w:bCs/>
          <w:sz w:val="24"/>
          <w:szCs w:val="24"/>
        </w:rPr>
        <w:t xml:space="preserve">Effort Index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pPr>
              <w:spacing w:after="40" w:before="40"/>
            </w:pPr>
            <w:r>
              <w:rPr>
                <w:rFonts w:ascii="Arial" w:cs="Arial" w:eastAsia="Arial" w:hAnsi="Arial"/>
                <w:sz w:val="20"/>
                <w:szCs w:val="20"/>
              </w:rPr>
              <w:t xml:space="preserve">effort_index = (conceptual_demand x 3) + activity_count + (project_load x 1.5) + map_work</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conceptual_demand:  1 (concrete/Grade III) to 5 (abstract/Grade V)</w:t>
            </w:r>
          </w:p>
          <w:p>
            <w:pPr>
              <w:spacing w:after="40" w:before="40"/>
            </w:pPr>
            <w:r>
              <w:rPr>
                <w:rFonts w:ascii="Arial" w:cs="Arial" w:eastAsia="Arial" w:hAnsi="Arial"/>
                <w:sz w:val="20"/>
                <w:szCs w:val="20"/>
              </w:rPr>
              <w:t xml:space="preserve">activity_count:     number of named hands-on activities in the chapter</w:t>
            </w:r>
          </w:p>
          <w:p>
            <w:pPr>
              <w:spacing w:after="40" w:before="40"/>
            </w:pPr>
            <w:r>
              <w:rPr>
                <w:rFonts w:ascii="Arial" w:cs="Arial" w:eastAsia="Arial" w:hAnsi="Arial"/>
                <w:sz w:val="20"/>
                <w:szCs w:val="20"/>
              </w:rPr>
              <w:t xml:space="preserve">project_load:       0 (none), 1 (light: multi-day observation), 2 (substantial: artefact construction)</w:t>
            </w:r>
          </w:p>
          <w:p>
            <w:pPr>
              <w:spacing w:after="40" w:before="40"/>
            </w:pPr>
            <w:r>
              <w:rPr>
                <w:rFonts w:ascii="Arial" w:cs="Arial" w:eastAsia="Arial" w:hAnsi="Arial"/>
                <w:sz w:val="20"/>
                <w:szCs w:val="20"/>
              </w:rPr>
              <w:t xml:space="preserve">map_work:           0 (no maps), 1 (map reading), 2 (map drawing or regional comparison)</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Removed vs Science formula: demo_count and exec_load (not applicable to TWAU activity structure).</w:t>
            </w:r>
          </w:p>
          <w:p>
            <w:pPr>
              <w:spacing w:after="40" w:before="40"/>
            </w:pPr>
            <w:r>
              <w:rPr>
                <w:rFonts w:ascii="Arial" w:cs="Arial" w:eastAsia="Arial" w:hAnsi="Arial"/>
                <w:sz w:val="20"/>
                <w:szCs w:val="20"/>
              </w:rPr>
              <w:t xml:space="preserve">Added vs Science formula: project_load and map_work (TWAU-specific signals).</w:t>
            </w:r>
          </w:p>
        </w:tc>
      </w:tr>
    </w:tbl>
    <w:p>
      <w:pPr>
        <w:spacing w:after="60" w:before="60"/>
      </w:pPr>
      <w:r>
        <w:t xml:space="preserve"/>
      </w:r>
    </w:p>
    <w:p>
      <w:pPr>
        <w:pStyle w:val="Heading2"/>
        <w:spacing w:after="80" w:before="240"/>
      </w:pPr>
      <w:r>
        <w:rPr>
          <w:rFonts w:ascii="Arial" w:cs="Arial" w:eastAsia="Arial" w:hAnsi="Arial"/>
          <w:b/>
          <w:bCs/>
          <w:sz w:val="28"/>
          <w:szCs w:val="28"/>
        </w:rPr>
        <w:t xml:space="preserve">4.2 LP Structure: Single-Axis (Sections Only)</w:t>
      </w:r>
    </w:p>
    <w:p>
      <w:pPr>
        <w:spacing w:after="60" w:before="60"/>
      </w:pPr>
      <w:r>
        <w:rPr>
          <w:rFonts w:ascii="Arial" w:cs="Arial" w:eastAsia="Arial" w:hAnsi="Arial"/>
          <w:sz w:val="22"/>
          <w:szCs w:val="22"/>
        </w:rPr>
        <w:t xml:space="preserve">The lesson plan is organized on a single axis: the textbook's named sections, in reading order. This is the primary structural direction of the LP — not pedagogical approach, not competency category.</w:t>
      </w:r>
    </w:p>
    <w:p>
      <w:pPr>
        <w:spacing w:after="60" w:before="60"/>
      </w:pPr>
      <w:r>
        <w:rPr>
          <w:rFonts w:ascii="Arial" w:cs="Arial" w:eastAsia="Arial" w:hAnsi="Arial"/>
          <w:sz w:val="22"/>
          <w:szCs w:val="22"/>
        </w:rPr>
        <w:t xml:space="preserve">dominant_mode is pedagogical approach metadata attached to each period, not a structural axis. It carries one of five values: O&amp;R (Observe and Record), HI (Hands-on Investigation), D&amp;C (Discussion and Connection), C&amp;E (Create and Express), R&amp;A (Reflect and Act). dominant_mode is unimodal — a period has one dominant mode, not multiple.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pPr>
              <w:spacing w:after="40" w:before="40"/>
            </w:pPr>
            <w:r>
              <w:rPr>
                <w:rFonts w:ascii="Arial" w:cs="Arial" w:eastAsia="Arial" w:hAnsi="Arial"/>
                <w:sz w:val="20"/>
                <w:szCs w:val="20"/>
              </w:rPr>
              <w:t xml:space="preserve">Analogy to other subjects:</w:t>
            </w:r>
          </w:p>
          <w:p>
            <w:pPr>
              <w:spacing w:after="40" w:before="40"/>
            </w:pPr>
            <w:r>
              <w:rPr>
                <w:rFonts w:ascii="Arial" w:cs="Arial" w:eastAsia="Arial" w:hAnsi="Arial"/>
                <w:sz w:val="20"/>
                <w:szCs w:val="20"/>
              </w:rPr>
              <w:t xml:space="preserve">  English: two-axis LP (sections x spines) — spines are a COMPETENCY axis, not a pedagogical one.</w:t>
            </w:r>
          </w:p>
          <w:p>
            <w:pPr>
              <w:spacing w:after="40" w:before="40"/>
            </w:pPr>
            <w:r>
              <w:rPr>
                <w:rFonts w:ascii="Arial" w:cs="Arial" w:eastAsia="Arial" w:hAnsi="Arial"/>
                <w:sz w:val="20"/>
                <w:szCs w:val="20"/>
              </w:rPr>
              <w:t xml:space="preserve">  TWAU: single-axis LP (sections only) — dominant_mode is metadata, not an axis.</w:t>
            </w:r>
          </w:p>
          <w:p>
            <w:pPr>
              <w:spacing w:after="40" w:before="40"/>
            </w:pPr>
            <w:r>
              <w:rPr>
                <w:rFonts w:ascii="Arial" w:cs="Arial" w:eastAsia="Arial" w:hAnsi="Arial"/>
                <w:sz w:val="20"/>
                <w:szCs w:val="20"/>
              </w:rPr>
              <w:t xml:space="preserve">  Social Sciences: single-axis LP (sections) with C-code driven period emphasis.</w:t>
            </w:r>
          </w:p>
          <w:p>
            <w:pPr>
              <w:spacing w:after="40" w:before="40"/>
            </w:pPr>
            <w:r>
              <w:rPr>
                <w:rFonts w:ascii="Arial" w:cs="Arial" w:eastAsia="Arial" w:hAnsi="Arial"/>
                <w:sz w:val="20"/>
                <w:szCs w:val="20"/>
              </w:rPr>
              <w:t xml:space="preserve">  Science: progression-stage LP (stages within a chapter).</w:t>
            </w:r>
          </w:p>
          <w:p>
            <w:pPr>
              <w:spacing w:after="40" w:before="40"/>
            </w:pPr>
            <w:r>
              <w:rPr>
                <w:rFonts w:ascii="Arial" w:cs="Arial" w:eastAsia="Arial" w:hAnsi="Arial"/>
                <w:sz w:val="20"/>
                <w:szCs w:val="20"/>
              </w:rPr>
              <w:t xml:space="preserve">TWAU is closest to Social Sciences structurally, but without the C-code dominance rule.</w:t>
            </w:r>
          </w:p>
        </w:tc>
      </w:tr>
    </w:tbl>
    <w:p>
      <w:pPr>
        <w:spacing w:after="60" w:before="60"/>
      </w:pPr>
      <w:r>
        <w:t xml:space="preserve"/>
      </w:r>
    </w:p>
    <w:p>
      <w:pPr>
        <w:pStyle w:val="Heading2"/>
        <w:spacing w:after="80" w:before="240"/>
      </w:pPr>
      <w:r>
        <w:rPr>
          <w:rFonts w:ascii="Arial" w:cs="Arial" w:eastAsia="Arial" w:hAnsi="Arial"/>
          <w:b/>
          <w:bCs/>
          <w:sz w:val="28"/>
          <w:szCs w:val="28"/>
        </w:rPr>
        <w:t xml:space="preserve">4.3 Period-Level Fields</w:t>
      </w:r>
    </w:p>
    <w:p>
      <w:pPr>
        <w:spacing w:after="60" w:before="60"/>
      </w:pPr>
      <w:r>
        <w:rPr>
          <w:rFonts w:ascii="Arial" w:cs="Arial" w:eastAsia="Arial" w:hAnsi="Arial"/>
          <w:sz w:val="22"/>
          <w:szCs w:val="22"/>
        </w:rPr>
        <w:t xml:space="preserve">Each period in the TWAU LP carries the following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section_ref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Textbook section this period covers</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dominant_mode</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O&amp;R / HI / D&amp;C / C&amp;E / R&amp;A (pedagogical approach metadata)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cg_codes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 of CG C-codes active in this period (e.g. ["C-1.1","C-4.4"])</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textbook_anchor</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Named activity or section element from the textbook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implied_lo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Specific observable learning outcome for this period</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teacher_facilitation_note</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Brief note on facilitation approach (open question, grouping, pacing)</w:t>
            </w:r>
          </w:p>
        </w:tc>
      </w:tr>
    </w:tbl>
    <w:p>
      <w:pPr>
        <w:spacing w:after="60" w:before="60"/>
      </w:pPr>
      <w:r>
        <w:t xml:space="preserve"/>
      </w:r>
    </w:p>
    <w:p>
      <w:pPr>
        <w:pStyle w:val="Heading2"/>
        <w:spacing w:after="80" w:before="240"/>
      </w:pPr>
      <w:r>
        <w:rPr>
          <w:rFonts w:ascii="Arial" w:cs="Arial" w:eastAsia="Arial" w:hAnsi="Arial"/>
          <w:b/>
          <w:bCs/>
          <w:sz w:val="28"/>
          <w:szCs w:val="28"/>
        </w:rPr>
        <w:t xml:space="preserve">4.4 No Rule 4 Equivalent — No Competency Weight Hierarchy</w:t>
      </w:r>
    </w:p>
    <w:p>
      <w:pPr>
        <w:spacing w:after="60" w:before="60"/>
      </w:pPr>
      <w:r>
        <w:rPr>
          <w:rFonts w:ascii="Arial" w:cs="Arial" w:eastAsia="Arial" w:hAnsi="Arial"/>
          <w:sz w:val="22"/>
          <w:szCs w:val="22"/>
        </w:rPr>
        <w:t xml:space="preserve">Social Sciences Rule 4 states: higher-weighted competencies receive proportionally greater emphasis (more activities, more time, more depth). TWAU has no such rule. All active C-codes in a chapter are treated at comparable depth. The effort index components — not C-code weights — determine how many periods a section receives.</w:t>
      </w:r>
    </w:p>
    <w:p>
      <w:pPr>
        <w:spacing w:after="60" w:before="60"/>
      </w:pPr>
      <w:r>
        <w:rPr>
          <w:rFonts w:ascii="Arial" w:cs="Arial" w:eastAsia="Arial" w:hAnsi="Arial"/>
          <w:sz w:val="22"/>
          <w:szCs w:val="22"/>
        </w:rPr>
        <w:t xml:space="preserve">Intra-chapter period allocation logic: sections with higher activity_count, greater cognitive demand in their content, or project/map components naturally receive more periods when the effort index is disaggregated at section level.</w:t>
      </w:r>
    </w:p>
    <w:p>
      <w:pPr>
        <w:spacing w:after="60" w:before="60"/>
      </w:pPr>
      <w:r>
        <w:t xml:space="preserve"/>
      </w:r>
    </w:p>
    <w:p>
      <w:pPr>
        <w:pStyle w:val="Heading2"/>
        <w:spacing w:after="80" w:before="240"/>
      </w:pPr>
      <w:r>
        <w:rPr>
          <w:rFonts w:ascii="Arial" w:cs="Arial" w:eastAsia="Arial" w:hAnsi="Arial"/>
          <w:b/>
          <w:bCs/>
          <w:sz w:val="28"/>
          <w:szCs w:val="28"/>
        </w:rPr>
        <w:t xml:space="preserve">4.5 HTML LP: CG Codes Displayed at Period Level</w:t>
      </w:r>
    </w:p>
    <w:p>
      <w:pPr>
        <w:spacing w:after="60" w:before="60"/>
      </w:pPr>
      <w:r>
        <w:rPr>
          <w:rFonts w:ascii="Arial" w:cs="Arial" w:eastAsia="Arial" w:hAnsi="Arial"/>
          <w:sz w:val="22"/>
          <w:szCs w:val="22"/>
        </w:rPr>
        <w:t xml:space="preserve">The HTML lesson plan output must display the CG C-codes active in each period, consistent with the Social Sciences LP HTML. This gives teachers line-of-sight to NCF competency coverage at the finest granularity without requiring them to consult the mapping JSON.</w:t>
      </w:r>
    </w:p>
    <w:p>
      <w:pPr>
        <w:spacing w:after="60" w:before="60"/>
      </w:pPr>
      <w:r>
        <w:t xml:space="preserve"/>
      </w:r>
    </w:p>
    <w:p>
      <w:pPr>
        <w:pStyle w:val="Heading2"/>
        <w:spacing w:after="80" w:before="240"/>
      </w:pPr>
      <w:r>
        <w:rPr>
          <w:rFonts w:ascii="Arial" w:cs="Arial" w:eastAsia="Arial" w:hAnsi="Arial"/>
          <w:b/>
          <w:bCs/>
          <w:sz w:val="28"/>
          <w:szCs w:val="28"/>
        </w:rPr>
        <w:t xml:space="preserve">4.6 Activity-per-Period Rule (Option B)</w:t>
      </w:r>
    </w:p>
    <w:p>
      <w:pPr>
        <w:spacing w:after="60" w:before="60"/>
      </w:pPr>
      <w:r>
        <w:rPr>
          <w:rFonts w:ascii="Arial" w:cs="Arial" w:eastAsia="Arial" w:hAnsi="Arial"/>
          <w:sz w:val="22"/>
          <w:szCs w:val="22"/>
        </w:rPr>
        <w:t xml:space="preserve">To prevent periods being overloaded with multiple hands-on activities and to maintain pedagogical clarity: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pPr>
              <w:spacing w:after="40" w:before="40"/>
            </w:pPr>
            <w:r>
              <w:rPr>
                <w:rFonts w:ascii="Arial" w:cs="Arial" w:eastAsia="Arial" w:hAnsi="Arial"/>
                <w:sz w:val="20"/>
                <w:szCs w:val="20"/>
              </w:rPr>
              <w:t xml:space="preserve">Rule: One hands-on activity per period. Light discussion or reflection tasks may be paired with a</w:t>
            </w:r>
          </w:p>
          <w:p>
            <w:pPr>
              <w:spacing w:after="40" w:before="40"/>
            </w:pPr>
            <w:r>
              <w:rPr>
                <w:rFonts w:ascii="Arial" w:cs="Arial" w:eastAsia="Arial" w:hAnsi="Arial"/>
                <w:sz w:val="20"/>
                <w:szCs w:val="20"/>
              </w:rPr>
              <w:t xml:space="preserve">primary hands-on activity only if they directly consolidate it (same content, same outcome).</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This is a type-based rule (Option B), not a hard count cap (Option A).</w:t>
            </w:r>
          </w:p>
          <w:p>
            <w:pPr>
              <w:spacing w:after="40" w:before="40"/>
            </w:pPr>
            <w:r>
              <w:rPr>
                <w:rFonts w:ascii="Arial" w:cs="Arial" w:eastAsia="Arial" w:hAnsi="Arial"/>
                <w:sz w:val="20"/>
                <w:szCs w:val="20"/>
              </w:rPr>
              <w:t xml:space="preserve">No period caps on total periods per chapter — Aruvi is suggestive, not prescriptive.</w:t>
            </w:r>
          </w:p>
          <w:p>
            <w:pPr>
              <w:spacing w:after="40" w:before="40"/>
            </w:pPr>
            <w:r>
              <w:rPr>
                <w:rFonts w:ascii="Arial" w:cs="Arial" w:eastAsia="Arial" w:hAnsi="Arial"/>
                <w:sz w:val="20"/>
                <w:szCs w:val="20"/>
              </w:rPr>
              <w:t xml:space="preserve">Teachers decide actual period counts via the Allocate tab.</w:t>
            </w:r>
          </w:p>
        </w:tc>
      </w:tr>
    </w:tbl>
    <w:p>
      <w:pPr>
        <w:spacing w:after="60" w:before="60"/>
      </w:pPr>
      <w:r>
        <w:t xml:space="preserve"/>
      </w:r>
    </w:p>
    <w:p>
      <w:pPr>
        <w:pStyle w:val="Heading1"/>
        <w:spacing w:after="120" w:before="360"/>
      </w:pPr>
      <w:r>
        <w:rPr>
          <w:rFonts w:ascii="Arial" w:cs="Arial" w:eastAsia="Arial" w:hAnsi="Arial"/>
          <w:b/>
          <w:bCs/>
          <w:sz w:val="32"/>
          <w:szCs w:val="32"/>
        </w:rPr>
        <w:t xml:space="preserve">5. Assessment Architecture</w:t>
      </w:r>
    </w:p>
    <w:p>
      <w:pPr>
        <w:pStyle w:val="Heading2"/>
        <w:spacing w:after="80" w:before="240"/>
      </w:pPr>
      <w:r>
        <w:rPr>
          <w:rFonts w:ascii="Arial" w:cs="Arial" w:eastAsia="Arial" w:hAnsi="Arial"/>
          <w:b/>
          <w:bCs/>
          <w:sz w:val="28"/>
          <w:szCs w:val="28"/>
        </w:rPr>
        <w:t xml:space="preserve">5.1 Assessment Item Quantity</w:t>
      </w:r>
    </w:p>
    <w:p>
      <w:pPr>
        <w:spacing w:after="60" w:before="60"/>
      </w:pPr>
      <w:r>
        <w:rPr>
          <w:rFonts w:ascii="Arial" w:cs="Arial" w:eastAsia="Arial" w:hAnsi="Arial"/>
          <w:sz w:val="22"/>
          <w:szCs w:val="22"/>
        </w:rPr>
        <w:t xml:space="preserve">Assessment items are generated at CG-strand granularity within each period — not one item per period. Because a single period may have an implied_lo that covers two or more CG strands simultaneously, one question cannot assess both strands adequately. The rule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pPr>
              <w:spacing w:after="40" w:before="40"/>
            </w:pPr>
            <w:r>
              <w:rPr>
                <w:rFonts w:ascii="Arial" w:cs="Arial" w:eastAsia="Arial" w:hAnsi="Arial"/>
                <w:sz w:val="20"/>
                <w:szCs w:val="20"/>
              </w:rPr>
              <w:t xml:space="preserve">Assessment quantity: one item per CG-strand per period.</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Example: Period with cg_codes = ["C-1.1", "C-4.4"] and implied_lo covering both</w:t>
            </w:r>
          </w:p>
          <w:p>
            <w:pPr>
              <w:spacing w:after="40" w:before="40"/>
            </w:pPr>
            <w:r>
              <w:rPr>
                <w:rFonts w:ascii="Arial" w:cs="Arial" w:eastAsia="Arial" w:hAnsi="Arial"/>
                <w:sz w:val="20"/>
                <w:szCs w:val="20"/>
              </w:rPr>
              <w:t xml:space="preserve">  → generates 2 assessment items: one anchored to C-1.1, one anchored to C-4.4.</w:t>
            </w:r>
          </w:p>
          <w:p>
            <w:pPr>
              <w:spacing w:after="40" w:before="40"/>
            </w:pPr>
            <w:r>
              <w:rPr>
                <w:rFonts w:ascii="Arial" w:cs="Arial" w:eastAsia="Arial" w:hAnsi="Arial"/>
                <w:sz w:val="20"/>
                <w:szCs w:val="20"/>
              </w:rPr>
              <w:t xml:space="preserve">Period with cg_codes = ["C-6.1"] (single strand)</w:t>
            </w:r>
          </w:p>
          <w:p>
            <w:pPr>
              <w:spacing w:after="40" w:before="40"/>
            </w:pPr>
            <w:r>
              <w:rPr>
                <w:rFonts w:ascii="Arial" w:cs="Arial" w:eastAsia="Arial" w:hAnsi="Arial"/>
                <w:sz w:val="20"/>
                <w:szCs w:val="20"/>
              </w:rPr>
              <w:t xml:space="preserve">  → generates 1 assessment item.</w:t>
            </w:r>
          </w:p>
        </w:tc>
      </w:tr>
    </w:tbl>
    <w:p>
      <w:pPr>
        <w:spacing w:after="60" w:before="60"/>
      </w:pPr>
      <w:r>
        <w:t xml:space="preserve"/>
      </w:r>
    </w:p>
    <w:p>
      <w:pPr>
        <w:pStyle w:val="Heading2"/>
        <w:spacing w:after="80" w:before="240"/>
      </w:pPr>
      <w:r>
        <w:rPr>
          <w:rFonts w:ascii="Arial" w:cs="Arial" w:eastAsia="Arial" w:hAnsi="Arial"/>
          <w:b/>
          <w:bCs/>
          <w:sz w:val="28"/>
          <w:szCs w:val="28"/>
        </w:rPr>
        <w:t xml:space="preserve">5.2 Question Type Taxonomy</w:t>
      </w:r>
    </w:p>
    <w:p>
      <w:pPr>
        <w:spacing w:after="60" w:before="60"/>
      </w:pPr>
      <w:r>
        <w:rPr>
          <w:rFonts w:ascii="Arial" w:cs="Arial" w:eastAsia="Arial" w:hAnsi="Arial"/>
          <w:sz w:val="22"/>
          <w:szCs w:val="22"/>
        </w:rPr>
        <w:t xml:space="preserve">TWAU assessment uses Aruvi's existing question type taxonomy — no new types introduced: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7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 and TWAU Application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MCQ</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4-option multiple choice. Use for CG-1 observation recognition, CG-5 map/directional, CG-4 conservation choices. Preferred for O&amp;R and D&amp;C dominant_mode periods.</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SCR</w:t>
            </w:r>
          </w:p>
        </w:tc>
        <w:tc>
          <w:tcPr>
            <w:tcW w:type="dxa" w:w="7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Short constructed response (2–4 sentences). Use for CG-2 cultural practices, CG-6 process steps (inquiry sequence). Preferred for HI dominant_mode periods.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Extended constructed response (paragraph). Use for CG-3 wellbeing reasoning, CG-4 stewardship arguments. Preferred for D&amp;C periods with ethical or evaluative demand.</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OPEN_TASK</w:t>
            </w:r>
          </w:p>
        </w:tc>
        <w:tc>
          <w:tcPr>
            <w:tcW w:type="dxa" w:w="7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Design challenge, creative construction, performance task, or open-ended investigation. Use for C&amp;E and R&amp;A dominant_mode periods. At Grade III, flag as performance_task subtype when activity maps to physical behaviour (hygiene routines, safety role-plays) rather than a written response.</w:t>
            </w:r>
          </w:p>
        </w:tc>
      </w:tr>
    </w:tbl>
    <w:p>
      <w:pPr>
        <w:spacing w:after="60" w:before="60"/>
      </w:pPr>
      <w:r>
        <w:t xml:space="preserve"/>
      </w:r>
    </w:p>
    <w:p>
      <w:pPr>
        <w:pStyle w:val="Heading2"/>
        <w:spacing w:after="80" w:before="240"/>
      </w:pPr>
      <w:r>
        <w:rPr>
          <w:rFonts w:ascii="Arial" w:cs="Arial" w:eastAsia="Arial" w:hAnsi="Arial"/>
          <w:b/>
          <w:bCs/>
          <w:sz w:val="28"/>
          <w:szCs w:val="28"/>
        </w:rPr>
        <w:t xml:space="preserve">5.3 cognitive_demand Field (Metadata)</w:t>
      </w:r>
    </w:p>
    <w:p>
      <w:pPr>
        <w:spacing w:after="60" w:before="60"/>
      </w:pPr>
      <w:r>
        <w:rPr>
          <w:rFonts w:ascii="Arial" w:cs="Arial" w:eastAsia="Arial" w:hAnsi="Arial"/>
          <w:sz w:val="22"/>
          <w:szCs w:val="22"/>
        </w:rPr>
        <w:t xml:space="preserve">Every assessment item carries a cognitive_demand field as separate metadata. This is NOT a question type — it is a cognitive description of what the item demands from the student.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cognitive_demand value</w:t>
            </w:r>
          </w:p>
        </w:tc>
        <w:tc>
          <w:tcPr>
            <w:tcW w:type="dxa" w:w="6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means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Observe and Identify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label, match, or recognise observable features</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Predict and Explain</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Forecast outcomes or give causal reasoning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 and Interpret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 concepts across domains or explain cultural-natural connections</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Evaluate and Choose</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Judge options, justify choices, apply value reasoning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Design and Justify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Propose an approach, make something, explain design decisions</w:t>
            </w:r>
          </w:p>
        </w:tc>
      </w:tr>
    </w:tbl>
    <w:p>
      <w:pPr>
        <w:spacing w:after="60" w:before="60"/>
      </w:pPr>
      <w:r>
        <w:t xml:space="preserve"/>
      </w:r>
    </w:p>
    <w:p>
      <w:pPr>
        <w:pStyle w:val="Heading2"/>
        <w:spacing w:after="80" w:before="240"/>
      </w:pPr>
      <w:r>
        <w:rPr>
          <w:rFonts w:ascii="Arial" w:cs="Arial" w:eastAsia="Arial" w:hAnsi="Arial"/>
          <w:b/>
          <w:bCs/>
          <w:sz w:val="28"/>
          <w:szCs w:val="28"/>
        </w:rPr>
        <w:t xml:space="preserve">5.4 India Diversity — Regional Variation Note</w:t>
      </w:r>
    </w:p>
    <w:p>
      <w:pPr>
        <w:spacing w:after="60" w:before="60"/>
      </w:pPr>
      <w:r>
        <w:rPr>
          <w:rFonts w:ascii="Arial" w:cs="Arial" w:eastAsia="Arial" w:hAnsi="Arial"/>
          <w:sz w:val="22"/>
          <w:szCs w:val="22"/>
        </w:rPr>
        <w:t xml:space="preserve">TWAU content is built on regional diversity: seasonal crops, local festivals, water body names, tree species, food staples, and conservation practices differ across Indian states. This does not require a dedicated schema field on every assessment item. Instead the assessment constitution carries a conditional instruction: when a question invites a regionally specific example, the LLM notes that varied regional answers are acceptable. Questions with no regional dimension carry no such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pPr>
              <w:spacing w:after="40" w:before="40"/>
            </w:pPr>
            <w:r>
              <w:rPr>
                <w:rFonts w:ascii="Arial" w:cs="Arial" w:eastAsia="Arial" w:hAnsi="Arial"/>
                <w:sz w:val="20"/>
                <w:szCs w:val="20"/>
              </w:rPr>
              <w:t xml:space="preserve">Constitution instruction (not a schema field):</w:t>
            </w:r>
          </w:p>
          <w:p>
            <w:pPr>
              <w:spacing w:after="40" w:before="40"/>
            </w:pPr>
            <w:r>
              <w:rPr>
                <w:rFonts w:ascii="Arial" w:cs="Arial" w:eastAsia="Arial" w:hAnsi="Arial"/>
                <w:sz w:val="20"/>
                <w:szCs w:val="20"/>
              </w:rPr>
              <w:t xml:space="preserve">  When an assessment item asks for an example that is inherently region-specific</w:t>
            </w:r>
          </w:p>
          <w:p>
            <w:pPr>
              <w:spacing w:after="40" w:before="40"/>
            </w:pPr>
            <w:r>
              <w:rPr>
                <w:rFonts w:ascii="Arial" w:cs="Arial" w:eastAsia="Arial" w:hAnsi="Arial"/>
                <w:sz w:val="20"/>
                <w:szCs w:val="20"/>
              </w:rPr>
              <w:t xml:space="preserve">  (a crop, a festival, a water body, a food, a local practice), add a teacher note</w:t>
            </w:r>
          </w:p>
          <w:p>
            <w:pPr>
              <w:spacing w:after="40" w:before="40"/>
            </w:pPr>
            <w:r>
              <w:rPr>
                <w:rFonts w:ascii="Arial" w:cs="Arial" w:eastAsia="Arial" w:hAnsi="Arial"/>
                <w:sz w:val="20"/>
                <w:szCs w:val="20"/>
              </w:rPr>
              <w:t xml:space="preserve">  that regionally varied answers are acceptable.</w:t>
            </w:r>
          </w:p>
          <w:p>
            <w:pPr>
              <w:spacing w:after="40" w:before="40"/>
            </w:pPr>
            <w:r>
              <w:rPr>
                <w:rFonts w:ascii="Arial" w:cs="Arial" w:eastAsia="Arial" w:hAnsi="Arial"/>
                <w:sz w:val="20"/>
                <w:szCs w:val="20"/>
              </w:rPr>
              <w:t xml:space="preserve">  Do not add this note to items with universal or textbook-fixed correct answers.</w:t>
            </w:r>
          </w:p>
        </w:tc>
      </w:tr>
    </w:tbl>
    <w:p>
      <w:pPr>
        <w:spacing w:after="60" w:before="60"/>
      </w:pPr>
      <w:r>
        <w:t xml:space="preserve"/>
      </w:r>
    </w:p>
    <w:p>
      <w:pPr>
        <w:pStyle w:val="Heading2"/>
        <w:spacing w:after="80" w:before="240"/>
      </w:pPr>
      <w:r>
        <w:rPr>
          <w:rFonts w:ascii="Arial" w:cs="Arial" w:eastAsia="Arial" w:hAnsi="Arial"/>
          <w:b/>
          <w:bCs/>
          <w:sz w:val="28"/>
          <w:szCs w:val="28"/>
        </w:rPr>
        <w:t xml:space="preserve">5.5 IKS Integration</w:t>
      </w:r>
    </w:p>
    <w:p>
      <w:pPr>
        <w:spacing w:after="60" w:before="60"/>
      </w:pPr>
      <w:r>
        <w:rPr>
          <w:rFonts w:ascii="Arial" w:cs="Arial" w:eastAsia="Arial" w:hAnsi="Arial"/>
          <w:sz w:val="22"/>
          <w:szCs w:val="22"/>
        </w:rPr>
        <w:t xml:space="preserve">TWAU chapters contain substantial IKS content as named, textbook-embedded section material — the datun tradition, matka/surahi water vessels, seasonal eating, folk conservation practices. These are section-level content, captured naturally in section content_summary fields of the chapter summary JSON, and referenced in LP periods through the textbook_anchor and teacher_facilitation_note fields.</w:t>
      </w:r>
    </w:p>
    <w:p>
      <w:pPr>
        <w:spacing w:after="60" w:before="60"/>
      </w:pPr>
      <w:r>
        <w:rPr>
          <w:rFonts w:ascii="Arial" w:cs="Arial" w:eastAsia="Arial" w:hAnsi="Arial"/>
          <w:sz w:val="22"/>
          <w:szCs w:val="22"/>
        </w:rPr>
        <w:t xml:space="preserve">No dedicated indian_knowledge_element schema field is added to the LP period or chapter summary. IKS surfaces through normal content fidelity — the same approach used across all other Aruvi subjects including Mathematics, which carries substantial IKS content (history-of-mathematics sections) without a dedicated field. The LP constitution instructs the LLM to draw faithfully on section content; IKS naturally appears where the textbook places it.</w:t>
      </w:r>
    </w:p>
    <w:p>
      <w:pPr>
        <w:spacing w:after="60" w:before="60"/>
      </w:pPr>
      <w:r>
        <w:t xml:space="preserve"/>
      </w:r>
    </w:p>
    <w:p>
      <w:pPr>
        <w:pStyle w:val="Heading2"/>
        <w:spacing w:after="80" w:before="240"/>
      </w:pPr>
      <w:r>
        <w:rPr>
          <w:rFonts w:ascii="Arial" w:cs="Arial" w:eastAsia="Arial" w:hAnsi="Arial"/>
          <w:b/>
          <w:bCs/>
          <w:sz w:val="28"/>
          <w:szCs w:val="28"/>
        </w:rPr>
        <w:t xml:space="preserve">5.6 Visual Stimulus — No Expansion</w:t>
      </w:r>
    </w:p>
    <w:p>
      <w:pPr>
        <w:spacing w:after="60" w:before="60"/>
      </w:pPr>
      <w:r>
        <w:rPr>
          <w:rFonts w:ascii="Arial" w:cs="Arial" w:eastAsia="Arial" w:hAnsi="Arial"/>
          <w:sz w:val="22"/>
          <w:szCs w:val="22"/>
        </w:rPr>
        <w:t xml:space="preserve">TWAU assessment items are self-contained text-based questions. The existing visual_stimulus rendering branches (pipe-table for Science/SS tabular data; SVG for Mathematics geometry) remain unchanged. No new rendering branch is added for TWAU. Teachers are expected to rely on the LP activity rubric — which is heavily activity-based — for assessment for and as learning. Aruvi's text-based assessment serves as the unit plan's summative check, not a substitute for the rich observational/artefact assessment naturally embedded in TWAU activities.</w:t>
      </w:r>
    </w:p>
    <w:p>
      <w:pPr>
        <w:spacing w:after="60" w:before="60"/>
      </w:pPr>
      <w:r>
        <w:t xml:space="preserve"/>
      </w:r>
    </w:p>
    <w:p>
      <w:pPr>
        <w:pStyle w:val="Heading1"/>
        <w:spacing w:after="120" w:before="360"/>
      </w:pPr>
      <w:r>
        <w:rPr>
          <w:rFonts w:ascii="Arial" w:cs="Arial" w:eastAsia="Arial" w:hAnsi="Arial"/>
          <w:b/>
          <w:bCs/>
          <w:sz w:val="32"/>
          <w:szCs w:val="32"/>
        </w:rPr>
        <w:t xml:space="preserve">6. Chapter Summary JSON Schema</w:t>
      </w:r>
    </w:p>
    <w:p>
      <w:pPr>
        <w:spacing w:after="60" w:before="60"/>
      </w:pPr>
      <w:r>
        <w:rPr>
          <w:rFonts w:ascii="Arial" w:cs="Arial" w:eastAsia="Arial" w:hAnsi="Arial"/>
          <w:sz w:val="22"/>
          <w:szCs w:val="22"/>
        </w:rPr>
        <w:t xml:space="preserve">TWAU follows the JSON format used by Mathematics and English (not the .txt format of Science/SS). The summary file is the input to the LP and assessment generators. The schema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chapter_number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chapter_title</w:t>
            </w:r>
          </w:p>
        </w:tc>
        <w:tc>
          <w:tcPr>
            <w:tcW w:type="dxa" w:w="6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Exact title as in textbook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grade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 4 / 5</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unit</w:t>
            </w:r>
          </w:p>
        </w:tc>
        <w:tc>
          <w:tcPr>
            <w:tcW w:type="dxa" w:w="6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Unit number and name from textbook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 of named sections in reading order; each section has: title, content_summary, named_activities (array), cognitive_demand (1–5)</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activity_count</w:t>
            </w:r>
          </w:p>
        </w:tc>
        <w:tc>
          <w:tcPr>
            <w:tcW w:type="dxa" w:w="6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Total count of named hands-on activities across all sections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conceptual_demand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 1–5 (overall chapter level, not per-section)</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project_load</w:t>
            </w:r>
          </w:p>
        </w:tc>
        <w:tc>
          <w:tcPr>
            <w:tcW w:type="dxa" w:w="6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0 / 1 / 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map_work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 1 / 2</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effort_index</w:t>
            </w:r>
          </w:p>
        </w:tc>
        <w:tc>
          <w:tcPr>
            <w:tcW w:type="dxa" w:w="6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Computed: (conceptual_demand x 3) + activity_count + (project_load x 1.5) + map_work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dominant_cg_codes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 of all C-codes active in this chapter (no weights)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dual_strand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 with keys 'natural' (phenomenon/concept) and 'human_cultural' (response/practice)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pPr>
              <w:spacing w:after="40" w:before="40"/>
            </w:pPr>
            <w:r>
              <w:rPr>
                <w:rFonts w:ascii="Arial" w:cs="Arial" w:eastAsia="Arial" w:hAnsi="Arial"/>
                <w:sz w:val="20"/>
                <w:szCs w:val="20"/>
              </w:rPr>
              <w:t xml:space="preserve">File format: .json (same as Mathematics and English).</w:t>
            </w:r>
          </w:p>
          <w:p>
            <w:pPr>
              <w:spacing w:after="40" w:before="40"/>
            </w:pPr>
            <w:r>
              <w:rPr>
                <w:rFonts w:ascii="Arial" w:cs="Arial" w:eastAsia="Arial" w:hAnsi="Arial"/>
                <w:sz w:val="20"/>
                <w:szCs w:val="20"/>
              </w:rPr>
              <w:t xml:space="preserve">app.py note: 'twau' must be added to _JSON_SUMMARY_SUBJECTS in app.py.</w:t>
            </w:r>
          </w:p>
          <w:p>
            <w:pPr>
              <w:spacing w:after="40" w:before="40"/>
            </w:pPr>
            <w:r>
              <w:rPr>
                <w:rFonts w:ascii="Arial" w:cs="Arial" w:eastAsia="Arial" w:hAnsi="Arial"/>
                <w:sz w:val="20"/>
                <w:szCs w:val="20"/>
              </w:rPr>
              <w:t xml:space="preserve">File path: mirror/chapters/twau/{grade}/summaries/ch_XX_summary.json</w:t>
            </w:r>
          </w:p>
          <w:p>
            <w:pPr>
              <w:spacing w:after="40" w:before="40"/>
            </w:pPr>
            <w:r>
              <w:rPr>
                <w:rFonts w:ascii="Arial" w:cs="Arial" w:eastAsia="Arial" w:hAnsi="Arial"/>
                <w:sz w:val="20"/>
                <w:szCs w:val="20"/>
              </w:rPr>
              <w:t xml:space="preserve">Mapping path: mirror/chapters/twau/{grade}/mappings/ch_XX_mapping.json</w:t>
            </w:r>
          </w:p>
        </w:tc>
      </w:tr>
    </w:tbl>
    <w:p>
      <w:pPr>
        <w:spacing w:after="60" w:before="60"/>
      </w:pPr>
      <w:r>
        <w:t xml:space="preserve"/>
      </w:r>
    </w:p>
    <w:p>
      <w:pPr>
        <w:pStyle w:val="Heading1"/>
        <w:spacing w:after="120" w:before="360"/>
      </w:pPr>
      <w:r>
        <w:rPr>
          <w:rFonts w:ascii="Arial" w:cs="Arial" w:eastAsia="Arial" w:hAnsi="Arial"/>
          <w:b/>
          <w:bCs/>
          <w:sz w:val="32"/>
          <w:szCs w:val="32"/>
        </w:rPr>
        <w:t xml:space="preserve">7. Competency Mapping JSON Schema</w:t>
      </w:r>
    </w:p>
    <w:p>
      <w:pPr>
        <w:spacing w:after="60" w:before="60"/>
      </w:pPr>
      <w:r>
        <w:rPr>
          <w:rFonts w:ascii="Arial" w:cs="Arial" w:eastAsia="Arial" w:hAnsi="Arial"/>
          <w:sz w:val="22"/>
          <w:szCs w:val="22"/>
        </w:rPr>
        <w:t xml:space="preserve">TWAU competency mapping follows the flat single-array schema (same as Mathematics/English after Learning #16). No separate incidental array. No competency weights — all active C-codes are Weight 1 (Present). The effort index drives allocation, not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chapter_number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chapter_title</w:t>
            </w:r>
          </w:p>
        </w:tc>
        <w:tc>
          <w:tcPr>
            <w:tcW w:type="dxa" w:w="6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Must match summary file exactly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grade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 4 / 5</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effort_index</w:t>
            </w:r>
          </w:p>
        </w:tc>
        <w:tc>
          <w:tcPr>
            <w:tcW w:type="dxa" w:w="6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Copied from summary JSON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competencies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Flat array; each entry: { c_code, competency_text, weight: 1, justification }</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chapter_weight</w:t>
            </w:r>
          </w:p>
        </w:tc>
        <w:tc>
          <w:tcPr>
            <w:tcW w:type="dxa" w:w="6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Sum of competency weights (equals count of active C-codes, since all Weight 1)</w:t>
            </w:r>
          </w:p>
        </w:tc>
      </w:tr>
    </w:tbl>
    <w:p>
      <w:pPr>
        <w:spacing w:after="60" w:before="60"/>
      </w:pPr>
      <w:r>
        <w:t xml:space="preserve"/>
      </w:r>
    </w:p>
    <w:p>
      <w:pPr>
        <w:pStyle w:val="Heading1"/>
        <w:spacing w:after="120" w:before="360"/>
      </w:pPr>
      <w:r>
        <w:rPr>
          <w:rFonts w:ascii="Arial" w:cs="Arial" w:eastAsia="Arial" w:hAnsi="Arial"/>
          <w:b/>
          <w:bCs/>
          <w:sz w:val="32"/>
          <w:szCs w:val="32"/>
        </w:rPr>
        <w:t xml:space="preserve">8. Grade III Consistency Check</w:t>
      </w:r>
    </w:p>
    <w:p>
      <w:pPr>
        <w:spacing w:after="60" w:before="60"/>
      </w:pPr>
      <w:r>
        <w:rPr>
          <w:rFonts w:ascii="Arial" w:cs="Arial" w:eastAsia="Arial" w:hAnsi="Arial"/>
          <w:sz w:val="22"/>
          <w:szCs w:val="22"/>
        </w:rPr>
        <w:t xml:space="preserve">Three Grade III Unit 3 chapters were reviewed against the proposed architecture: Ch 7 (Water — A Precious Gift), Ch 8 (Food We Eat), Ch 9 (Staying Healthy and Happy).</w:t>
      </w:r>
    </w:p>
    <w:p>
      <w:pPr>
        <w:pStyle w:val="Heading2"/>
        <w:spacing w:after="80" w:before="240"/>
      </w:pPr>
      <w:r>
        <w:rPr>
          <w:rFonts w:ascii="Arial" w:cs="Arial" w:eastAsia="Arial" w:hAnsi="Arial"/>
          <w:b/>
          <w:bCs/>
          <w:sz w:val="28"/>
          <w:szCs w:val="28"/>
        </w:rPr>
        <w:t xml:space="preserve">8.1 Architecture Holds</w:t>
      </w:r>
    </w:p>
    <w:p>
      <w:pPr>
        <w:spacing w:after="60" w:before="60"/>
      </w:pPr>
      <w:r>
        <w:rPr>
          <w:rFonts w:ascii="Arial" w:cs="Arial" w:eastAsia="Arial" w:hAnsi="Arial"/>
          <w:sz w:val="22"/>
          <w:szCs w:val="22"/>
        </w:rPr>
        <w:t xml:space="preserve">All architectural decisions (effort index, single-axis LP, CG codes at period level, one item per CG-strand per period, Option B activity rule) are consistent with Grade III content. No structural breaks found. Grade III's lower effort indices (range 7–12 vs Grade V's 13–20) are an expected output of the formula, not anomalies.</w:t>
      </w:r>
    </w:p>
    <w:p>
      <w:pPr>
        <w:pStyle w:val="Heading2"/>
        <w:spacing w:after="80" w:before="240"/>
      </w:pPr>
      <w:r>
        <w:rPr>
          <w:rFonts w:ascii="Arial" w:cs="Arial" w:eastAsia="Arial" w:hAnsi="Arial"/>
          <w:b/>
          <w:bCs/>
          <w:sz w:val="28"/>
          <w:szCs w:val="28"/>
        </w:rPr>
        <w:t xml:space="preserve">8.2 Three Constitution Guards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60"/>
        <w:gridCol w:w="3200"/>
      </w:tblGrid>
      <w:tr>
        <w:trPr>
          <w:tblHeader/>
        </w:trPr>
        <w:tc>
          <w:tcPr>
            <w:tcW w:type="dxa" w:w="1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Guard</w:t>
            </w:r>
          </w:p>
        </w:tc>
        <w:tc>
          <w:tcPr>
            <w:tcW w:type="dxa" w:w="4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Issue</w:t>
            </w:r>
          </w:p>
        </w:tc>
        <w:tc>
          <w:tcPr>
            <w:tcW w:type="dxa" w:w="3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Resolution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CG-3 flagging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Grade III Ch 9 is CG-3 dominant (safety, hygiene, stranger safety) — not visible in Grade IV/V sample, risk of under-assignment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Trust the CG-mapping process to flag naturally. Watch item: check first Grade III pilot run. No constitution change at this stage.</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#2 OPEN_TASK subtype</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Grade III OPEN_TASKs may map to physical behaviour (demonstrate hygiene, safety role-play), not written creative responses</w:t>
            </w:r>
          </w:p>
        </w:tc>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Constitution note: when C&amp;E/R&amp;A maps to physical behaviour, flag as performance_task subtype within OPEN_TASK.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IKS examples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IKS constitution guidance risks defaulting to upper-primary examples only (Grade IV/V sample bias)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Constitution should reference lower-primary IKS examples (datun, matka/surahi, seasonal eating) so the LLM does not default to upper-primary examples only. IKS is captured through normal section content, not a dedicated field.</w:t>
            </w:r>
          </w:p>
        </w:tc>
      </w:tr>
    </w:tbl>
    <w:p>
      <w:pPr>
        <w:spacing w:after="60" w:before="60"/>
      </w:pPr>
      <w:r>
        <w:t xml:space="preserve"/>
      </w:r>
    </w:p>
    <w:p>
      <w:pPr>
        <w:pStyle w:val="Heading1"/>
        <w:spacing w:after="120" w:before="360"/>
      </w:pPr>
      <w:r>
        <w:rPr>
          <w:rFonts w:ascii="Arial" w:cs="Arial" w:eastAsia="Arial" w:hAnsi="Arial"/>
          <w:b/>
          <w:bCs/>
          <w:sz w:val="32"/>
          <w:szCs w:val="32"/>
        </w:rPr>
        <w:t xml:space="preserve">9. app.py and Pipeline Changes Required</w:t>
      </w:r>
    </w:p>
    <w:p>
      <w:pPr>
        <w:pStyle w:val="Heading2"/>
        <w:spacing w:after="80" w:before="240"/>
      </w:pPr>
      <w:r>
        <w:rPr>
          <w:rFonts w:ascii="Arial" w:cs="Arial" w:eastAsia="Arial" w:hAnsi="Arial"/>
          <w:b/>
          <w:bCs/>
          <w:sz w:val="28"/>
          <w:szCs w:val="28"/>
        </w:rPr>
        <w:t xml:space="preserve">9.1 Summary Format Registration</w:t>
      </w:r>
    </w:p>
    <w:p>
      <w:pPr>
        <w:pStyle w:val="ListParagraph"/>
        <w:numPr>
          <w:ilvl w:val="0"/>
          <w:numId w:val="2"/>
        </w:numPr>
        <w:spacing w:after="40" w:before="40"/>
      </w:pPr>
      <w:r>
        <w:rPr>
          <w:rFonts w:ascii="Arial" w:cs="Arial" w:eastAsia="Arial" w:hAnsi="Arial"/>
          <w:sz w:val="22"/>
          <w:szCs w:val="22"/>
        </w:rPr>
        <w:t xml:space="preserve">Add 'twau' to _JSON_SUMMARY_SUBJECTS set in app.py (JSON summary format, same as maths/english).</w:t>
      </w:r>
    </w:p>
    <w:p>
      <w:pPr>
        <w:pStyle w:val="ListParagraph"/>
        <w:numPr>
          <w:ilvl w:val="0"/>
          <w:numId w:val="2"/>
        </w:numPr>
        <w:spacing w:after="40" w:before="40"/>
      </w:pPr>
      <w:r>
        <w:rPr>
          <w:rFonts w:ascii="Arial" w:cs="Arial" w:eastAsia="Arial" w:hAnsi="Arial"/>
          <w:sz w:val="22"/>
          <w:szCs w:val="22"/>
        </w:rPr>
        <w:t xml:space="preserve">grade_to_folder() must handle grades '3', '4', '5' in addition to existing 'vii', 'vi', 'viii'.</w:t>
      </w:r>
    </w:p>
    <w:p>
      <w:pPr>
        <w:spacing w:after="60" w:before="60"/>
      </w:pPr>
      <w:r>
        <w:t xml:space="preserve"/>
      </w:r>
    </w:p>
    <w:p>
      <w:pPr>
        <w:pStyle w:val="Heading2"/>
        <w:spacing w:after="80" w:before="240"/>
      </w:pPr>
      <w:r>
        <w:rPr>
          <w:rFonts w:ascii="Arial" w:cs="Arial" w:eastAsia="Arial" w:hAnsi="Arial"/>
          <w:b/>
          <w:bCs/>
          <w:sz w:val="28"/>
          <w:szCs w:val="28"/>
        </w:rPr>
        <w:t xml:space="preserve">9.2 Subject Routing</w:t>
      </w:r>
    </w:p>
    <w:p>
      <w:pPr>
        <w:pStyle w:val="ListParagraph"/>
        <w:numPr>
          <w:ilvl w:val="0"/>
          <w:numId w:val="2"/>
        </w:numPr>
        <w:spacing w:after="40" w:before="40"/>
      </w:pPr>
      <w:r>
        <w:rPr>
          <w:rFonts w:ascii="Arial" w:cs="Arial" w:eastAsia="Arial" w:hAnsi="Arial"/>
          <w:sz w:val="22"/>
          <w:szCs w:val="22"/>
        </w:rPr>
        <w:t xml:space="preserve">Add 'twau' as a subject option in the Generate tab subject selector.</w:t>
      </w:r>
    </w:p>
    <w:p>
      <w:pPr>
        <w:pStyle w:val="ListParagraph"/>
        <w:numPr>
          <w:ilvl w:val="0"/>
          <w:numId w:val="2"/>
        </w:numPr>
        <w:spacing w:after="40" w:before="40"/>
      </w:pPr>
      <w:r>
        <w:rPr>
          <w:rFonts w:ascii="Arial" w:cs="Arial" w:eastAsia="Arial" w:hAnsi="Arial"/>
          <w:sz w:val="22"/>
          <w:szCs w:val="22"/>
        </w:rPr>
        <w:t xml:space="preserve">Route twau through the JSON summary loading path.</w:t>
      </w:r>
    </w:p>
    <w:p>
      <w:pPr>
        <w:pStyle w:val="ListParagraph"/>
        <w:numPr>
          <w:ilvl w:val="0"/>
          <w:numId w:val="2"/>
        </w:numPr>
        <w:spacing w:after="40" w:before="40"/>
      </w:pPr>
      <w:r>
        <w:rPr>
          <w:rFonts w:ascii="Arial" w:cs="Arial" w:eastAsia="Arial" w:hAnsi="Arial"/>
          <w:sz w:val="22"/>
          <w:szCs w:val="22"/>
        </w:rPr>
        <w:t xml:space="preserve">LP and assessment generation: use TWAU-specific constitutions (to be authored).</w:t>
      </w:r>
    </w:p>
    <w:p>
      <w:pPr>
        <w:spacing w:after="60" w:before="60"/>
      </w:pPr>
      <w:r>
        <w:t xml:space="preserve"/>
      </w:r>
    </w:p>
    <w:p>
      <w:pPr>
        <w:pStyle w:val="Heading2"/>
        <w:spacing w:after="80" w:before="240"/>
      </w:pPr>
      <w:r>
        <w:rPr>
          <w:rFonts w:ascii="Arial" w:cs="Arial" w:eastAsia="Arial" w:hAnsi="Arial"/>
          <w:b/>
          <w:bCs/>
          <w:sz w:val="28"/>
          <w:szCs w:val="28"/>
        </w:rPr>
        <w:t xml:space="preserve">9.3 Allocate Tab</w:t>
      </w:r>
    </w:p>
    <w:p>
      <w:pPr>
        <w:pStyle w:val="ListParagraph"/>
        <w:numPr>
          <w:ilvl w:val="0"/>
          <w:numId w:val="2"/>
        </w:numPr>
        <w:spacing w:after="40" w:before="40"/>
      </w:pPr>
      <w:r>
        <w:rPr>
          <w:rFonts w:ascii="Arial" w:cs="Arial" w:eastAsia="Arial" w:hAnsi="Arial"/>
          <w:sz w:val="22"/>
          <w:szCs w:val="22"/>
        </w:rPr>
        <w:t xml:space="preserve">effort_index already drives the Allocate tab for Science, Maths, English.</w:t>
      </w:r>
    </w:p>
    <w:p>
      <w:pPr>
        <w:pStyle w:val="ListParagraph"/>
        <w:numPr>
          <w:ilvl w:val="0"/>
          <w:numId w:val="2"/>
        </w:numPr>
        <w:spacing w:after="40" w:before="40"/>
      </w:pPr>
      <w:r>
        <w:rPr>
          <w:rFonts w:ascii="Arial" w:cs="Arial" w:eastAsia="Arial" w:hAnsi="Arial"/>
          <w:sz w:val="22"/>
          <w:szCs w:val="22"/>
        </w:rPr>
        <w:t xml:space="preserve">TWAU uses the same effort_index display — no new Allocate tab logic needed.</w:t>
      </w:r>
    </w:p>
    <w:p>
      <w:pPr>
        <w:pStyle w:val="ListParagraph"/>
        <w:numPr>
          <w:ilvl w:val="0"/>
          <w:numId w:val="2"/>
        </w:numPr>
        <w:spacing w:after="40" w:before="40"/>
      </w:pPr>
      <w:r>
        <w:rPr>
          <w:rFonts w:ascii="Arial" w:cs="Arial" w:eastAsia="Arial" w:hAnsi="Arial"/>
          <w:sz w:val="22"/>
          <w:szCs w:val="22"/>
        </w:rPr>
        <w:t xml:space="preserve">Add TWAU to the subject list in the Allocate tab's subject selector.</w:t>
      </w:r>
    </w:p>
    <w:p>
      <w:pPr>
        <w:spacing w:after="60" w:before="60"/>
      </w:pPr>
      <w:r>
        <w:t xml:space="preserve"/>
      </w:r>
    </w:p>
    <w:p>
      <w:pPr>
        <w:pStyle w:val="Heading2"/>
        <w:spacing w:after="80" w:before="240"/>
      </w:pPr>
      <w:r>
        <w:rPr>
          <w:rFonts w:ascii="Arial" w:cs="Arial" w:eastAsia="Arial" w:hAnsi="Arial"/>
          <w:b/>
          <w:bCs/>
          <w:sz w:val="28"/>
          <w:szCs w:val="28"/>
        </w:rPr>
        <w:t xml:space="preserve">9.4 HTML LP Renderer</w:t>
      </w:r>
    </w:p>
    <w:p>
      <w:pPr>
        <w:pStyle w:val="ListParagraph"/>
        <w:numPr>
          <w:ilvl w:val="0"/>
          <w:numId w:val="2"/>
        </w:numPr>
        <w:spacing w:after="40" w:before="40"/>
      </w:pPr>
      <w:r>
        <w:rPr>
          <w:rFonts w:ascii="Arial" w:cs="Arial" w:eastAsia="Arial" w:hAnsi="Arial"/>
          <w:sz w:val="22"/>
          <w:szCs w:val="22"/>
        </w:rPr>
        <w:t xml:space="preserve">CG codes must appear at period level in the HTML LP output (same as Social Sciences LP HTML).</w:t>
      </w:r>
    </w:p>
    <w:p>
      <w:pPr>
        <w:pStyle w:val="ListParagraph"/>
        <w:numPr>
          <w:ilvl w:val="0"/>
          <w:numId w:val="2"/>
        </w:numPr>
        <w:spacing w:after="40" w:before="40"/>
      </w:pPr>
      <w:r>
        <w:rPr>
          <w:rFonts w:ascii="Arial" w:cs="Arial" w:eastAsia="Arial" w:hAnsi="Arial"/>
          <w:sz w:val="22"/>
          <w:szCs w:val="22"/>
        </w:rPr>
        <w:t xml:space="preserve">dominant_mode must appear as a period-level label (e.g. a coloured badge alongside the period heading).</w:t>
      </w:r>
    </w:p>
    <w:p>
      <w:pPr>
        <w:spacing w:after="60" w:before="60"/>
      </w:pPr>
      <w:r>
        <w:t xml:space="preserve"/>
      </w:r>
    </w:p>
    <w:p>
      <w:pPr>
        <w:pStyle w:val="Heading2"/>
        <w:spacing w:after="80" w:before="240"/>
      </w:pPr>
      <w:r>
        <w:rPr>
          <w:rFonts w:ascii="Arial" w:cs="Arial" w:eastAsia="Arial" w:hAnsi="Arial"/>
          <w:b/>
          <w:bCs/>
          <w:sz w:val="28"/>
          <w:szCs w:val="28"/>
        </w:rPr>
        <w:t xml:space="preserve">9.5 Assessment Renderer</w:t>
      </w:r>
    </w:p>
    <w:p>
      <w:pPr>
        <w:pStyle w:val="ListParagraph"/>
        <w:numPr>
          <w:ilvl w:val="0"/>
          <w:numId w:val="2"/>
        </w:numPr>
        <w:spacing w:after="40" w:before="40"/>
      </w:pPr>
      <w:r>
        <w:rPr>
          <w:rFonts w:ascii="Arial" w:cs="Arial" w:eastAsia="Arial" w:hAnsi="Arial"/>
          <w:sz w:val="22"/>
          <w:szCs w:val="22"/>
        </w:rPr>
        <w:t xml:space="preserve">cognitive_demand field: display as metadata alongside question_type for each item.</w:t>
      </w:r>
    </w:p>
    <w:p>
      <w:pPr>
        <w:pStyle w:val="ListParagraph"/>
        <w:numPr>
          <w:ilvl w:val="0"/>
          <w:numId w:val="2"/>
        </w:numPr>
        <w:spacing w:after="40" w:before="40"/>
      </w:pPr>
      <w:r>
        <w:rPr>
          <w:rFonts w:ascii="Arial" w:cs="Arial" w:eastAsia="Arial" w:hAnsi="Arial"/>
          <w:sz w:val="22"/>
          <w:szCs w:val="22"/>
        </w:rPr>
        <w:t xml:space="preserve">OPEN_TASK performance_task subtype: display a 'Performance Task' label in the PDF/HTML when present.</w:t>
      </w:r>
    </w:p>
    <w:p>
      <w:pPr>
        <w:pStyle w:val="ListParagraph"/>
        <w:numPr>
          <w:ilvl w:val="0"/>
          <w:numId w:val="2"/>
        </w:numPr>
        <w:spacing w:after="40" w:before="40"/>
      </w:pPr>
      <w:r>
        <w:rPr>
          <w:rFonts w:ascii="Arial" w:cs="Arial" w:eastAsia="Arial" w:hAnsi="Arial"/>
          <w:sz w:val="22"/>
          <w:szCs w:val="22"/>
        </w:rPr>
        <w:t xml:space="preserve">No new visual_stimulus rendering branch needed.</w:t>
      </w:r>
    </w:p>
    <w:p>
      <w:pPr>
        <w:spacing w:after="60" w:before="60"/>
      </w:pPr>
      <w:r>
        <w:t xml:space="preserve"/>
      </w:r>
    </w:p>
    <w:p>
      <w:pPr>
        <w:pStyle w:val="Heading1"/>
        <w:spacing w:after="120" w:before="360"/>
      </w:pPr>
      <w:r>
        <w:rPr>
          <w:rFonts w:ascii="Arial" w:cs="Arial" w:eastAsia="Arial" w:hAnsi="Arial"/>
          <w:b/>
          <w:bCs/>
          <w:sz w:val="32"/>
          <w:szCs w:val="32"/>
        </w:rPr>
        <w:t xml:space="preserve">10. Constitutions to Be Authored</w:t>
      </w:r>
    </w:p>
    <w:p>
      <w:pPr>
        <w:spacing w:after="60" w:before="60"/>
      </w:pPr>
      <w:r>
        <w:rPr>
          <w:rFonts w:ascii="Arial" w:cs="Arial" w:eastAsia="Arial" w:hAnsi="Arial"/>
          <w:sz w:val="22"/>
          <w:szCs w:val="22"/>
        </w:rPr>
        <w:t xml:space="preserve">Three constitution files are required before running the TWAU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Constitution</w:t>
            </w:r>
          </w:p>
        </w:tc>
        <w:tc>
          <w:tcPr>
            <w:tcW w:type="dxa" w:w="3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31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chapter_summary_twau.md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Cowork prompt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Generates summary JSON including effort index components, dual strand; IKS captured naturally in section content_summary</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competency_mapping_twau.md</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Cowork prompt</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Maps C-codes (all Weight 1) from summary; validates chapter_title match (Learning #15 guard)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twau_lp_constitution.txt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Runtime constitution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Single-axis LP; dominant_mode metadata; CG at period level; Option B activity rule; textbook fidelity ensures IKS surfaces naturally</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twau_assessment_constitution.txt</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Runtime constitution</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One item per CG-strand per period; MCQ/SCR/ECR/OPEN_TASK taxonomy; cognitive_demand field; regional-variation note as conditional constitution instruction (not a schema field); OPEN_TASK performance_task subtype for Grade III behavioural tasks</w:t>
            </w:r>
          </w:p>
        </w:tc>
      </w:tr>
    </w:tbl>
    <w:p>
      <w:pPr>
        <w:spacing w:after="60" w:before="60"/>
      </w:pPr>
      <w:r>
        <w:t xml:space="preserve"/>
      </w:r>
    </w:p>
    <w:p>
      <w:pPr>
        <w:pStyle w:val="Heading1"/>
        <w:spacing w:after="120" w:before="360"/>
      </w:pPr>
      <w:r>
        <w:rPr>
          <w:rFonts w:ascii="Arial" w:cs="Arial" w:eastAsia="Arial" w:hAnsi="Arial"/>
          <w:b/>
          <w:bCs/>
          <w:sz w:val="32"/>
          <w:szCs w:val="32"/>
        </w:rPr>
        <w:t xml:space="preserve">11.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w:t>
            </w:r>
          </w:p>
        </w:tc>
        <w:tc>
          <w:tcPr>
            <w:tcW w:type="dxa" w:w="3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Likelihood</w:t>
            </w:r>
          </w:p>
        </w:tc>
        <w:tc>
          <w:tcPr>
            <w:tcW w:type="dxa" w:w="31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Mitigation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over-generates periods (activity richness invites cramming)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 B rule in constitution; constitution to state one hands-on activity per period explicitly</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CG-3 under-assignment in Grade III chapters</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Low (watch item)</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Trust natural CG mapping; flag for manual review on first Grade III pilot run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tasks_verbatim contamination (cf. English poem experience, Learning #26)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Low-Medium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Defer decision; watch on first pilot run. TWAU content is richer than Grade V English poems so risk is lower — but monitor and strip if contamination observed.</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Effort index under-counting activities (activity naming inconsistency across grades)</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Medium</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Constitution must define 'named hands-on activity' precisely: look for imperative-verb headings ('Make a', 'Find out', 'Let's do') not discussion questions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Thin textual content in short Grade III sections (similar to English poem risk)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Grade III sections are concrete and activity-anchored; hallucination risk lower than poem chapters. Monitor first run.</w:t>
            </w:r>
          </w:p>
        </w:tc>
      </w:tr>
    </w:tbl>
    <w:p>
      <w:pPr>
        <w:spacing w:after="60" w:before="60"/>
      </w:pPr>
      <w:r>
        <w:t xml:space="preserve"/>
      </w:r>
    </w:p>
    <w:p>
      <w:pPr>
        <w:pStyle w:val="Heading1"/>
        <w:spacing w:after="120" w:before="360"/>
      </w:pPr>
      <w:r>
        <w:rPr>
          <w:rFonts w:ascii="Arial" w:cs="Arial" w:eastAsia="Arial" w:hAnsi="Arial"/>
          <w:b/>
          <w:bCs/>
          <w:sz w:val="32"/>
          <w:szCs w:val="32"/>
        </w:rPr>
        <w:t xml:space="preserve">12. Decision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Decision</w:t>
            </w:r>
          </w:p>
        </w:tc>
        <w:tc>
          <w:tcPr>
            <w:tcW w:type="dxa" w:w="5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Resolution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Allocation driver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Effort index (not competency weights)</w:t>
            </w:r>
          </w:p>
        </w:tc>
      </w:tr>
      <w:tr>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LP structure</w:t>
            </w:r>
          </w:p>
        </w:tc>
        <w:tc>
          <w:tcPr>
            <w:tcW w:type="dxa" w:w="5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Single-axis: textbook sections in reading order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dominant_mode role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Pedagogical metadata per period — not a structural axis</w:t>
            </w:r>
          </w:p>
        </w:tc>
      </w:tr>
      <w:tr>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CG codes in LP HTML</w:t>
            </w:r>
          </w:p>
        </w:tc>
        <w:tc>
          <w:tcPr>
            <w:tcW w:type="dxa" w:w="5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Displayed at period level (same as SS)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Competency weight hierarchy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 no Rule 4 equivalent for TWAU</w:t>
            </w:r>
          </w:p>
        </w:tc>
      </w:tr>
      <w:tr>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Period caps</w:t>
            </w:r>
          </w:p>
        </w:tc>
        <w:tc>
          <w:tcPr>
            <w:tcW w:type="dxa" w:w="5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None — Aruvi is suggestive; teacher decides via Allocate tab</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Assessment quantity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item per CG-strand per period</w:t>
            </w:r>
          </w:p>
        </w:tc>
      </w:tr>
      <w:tr>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Question type taxonomy</w:t>
            </w:r>
          </w:p>
        </w:tc>
        <w:tc>
          <w:tcPr>
            <w:tcW w:type="dxa" w:w="5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MCQ / SCR / ECR / OPEN_TASK (existing Aruvi types)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cognitive_demand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Separate metadata field on every assessment item</w:t>
            </w:r>
          </w:p>
        </w:tc>
      </w:tr>
      <w:tr>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C&amp;E and R&amp;A period questions</w:t>
            </w:r>
          </w:p>
        </w:tc>
        <w:tc>
          <w:tcPr>
            <w:tcW w:type="dxa" w:w="5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OPEN_TASK type; Grade III behavioural tasks flag as performance_task subtype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Activity-per-period rule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 B: one hands-on activity per period; light consolidation tasks may pair only if directly consolidating the same activity</w:t>
            </w:r>
          </w:p>
        </w:tc>
      </w:tr>
      <w:tr>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Visual stimulus</w:t>
            </w:r>
          </w:p>
        </w:tc>
        <w:tc>
          <w:tcPr>
            <w:tcW w:type="dxa" w:w="5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No expansion — existing pipe-table and SVG branches unchanged; TWAU assessment is text-based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India diversity — regional variation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Constitution instruction only: add a regional-variation note on assessment items where the answer is inherently region-specific. Not a schema field; not applied to every item.</w:t>
            </w:r>
          </w:p>
        </w:tc>
      </w:tr>
      <w:tr>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IKS integration</w:t>
            </w:r>
          </w:p>
        </w:tc>
        <w:tc>
          <w:tcPr>
            <w:tcW w:type="dxa" w:w="5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No dedicated schema field — IKS captured naturally in section content_summary; surfaces in LP periods through textbook fidelity (same as all other Aruvi subjects)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Summary format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(same as maths/english); add 'twau' to _JSON_SUMMARY_SUBJECTS</w:t>
            </w:r>
          </w:p>
        </w:tc>
      </w:tr>
      <w:tr>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Grade III consistency</w:t>
            </w:r>
          </w:p>
        </w:tc>
        <w:tc>
          <w:tcPr>
            <w:tcW w:type="dxa" w:w="5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Architecture holds; three constitution guards (CG-3 watch, OPEN_TASK performance subtype, IKS lower-primary examples)</w:t>
            </w:r>
          </w:p>
        </w:tc>
      </w:tr>
    </w:tbl>
    <w:p>
      <w:pPr>
        <w:spacing w:after="60" w:before="60"/>
      </w:pPr>
      <w:r>
        <w:t xml:space="preserve"/>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Arial" w:cs="Arial" w:eastAsia="Arial" w:hAnsi="Arial"/>
        <w:color w:val="595959"/>
        <w:sz w:val="18"/>
        <w:szCs w:val="18"/>
      </w:rPr>
      <w:t xml:space="preserve">Project Aruvi — TWAU Design Report v2.0</w:t>
    </w:r>
    <w:r>
      <w:rPr>
        <w:rFonts w:ascii="Arial" w:cs="Arial" w:eastAsia="Arial" w:hAnsi="Arial"/>
        <w:sz w:val="18"/>
        <w:szCs w:val="18"/>
      </w:rPr>
      <w:t xml:space="preserve">	</w:t>
    </w:r>
    <w:r>
      <w:rPr>
        <w:rFonts w:ascii="Arial" w:cs="Arial" w:eastAsia="Arial" w:hAnsi="Arial"/>
        <w:color w:val="595959"/>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5C9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4B5"/>
      <w:sz w:val="28"/>
      <w:szCs w:val="28"/>
    </w:rPr>
  </w:style>
  <w:style w:type="paragraph" w:styleId="Heading3">
    <w:name w:val="Heading 3"/>
    <w:basedOn w:val="Normal"/>
    <w:next w:val="Normal"/>
    <w:qFormat/>
    <w:pPr>
      <w:spacing w:after="6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2026-05-28T10:46:41.147Z</dcterms:created>
  <dcterms:modified xsi:type="dcterms:W3CDTF">2026-05-28T10:46:41.147Z</dcterms:modified>
</cp:coreProperties>
</file>

<file path=docProps/custom.xml><?xml version="1.0" encoding="utf-8"?>
<Properties xmlns="http://schemas.openxmlformats.org/officeDocument/2006/custom-properties" xmlns:vt="http://schemas.openxmlformats.org/officeDocument/2006/docPropsVTypes"/>
</file>