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20" w:before="0"/>
        <w:jc w:val="left"/>
      </w:pPr>
      <w:r>
        <w:rPr>
          <w:rFonts w:ascii="Arial" w:cs="Arial" w:eastAsia="Arial" w:hAnsi="Arial"/>
          <w:b/>
          <w:bCs/>
          <w:i w:val="false"/>
          <w:iCs w:val="false"/>
          <w:color w:val="1A6B5A"/>
          <w:sz w:val="56"/>
          <w:szCs w:val="56"/>
        </w:rPr>
        <w:t xml:space="preserve">Aruvi</w:t>
      </w:r>
    </w:p>
    <w:p>
      <w:pPr>
        <w:spacing w:after="60" w:before="0"/>
        <w:jc w:val="left"/>
      </w:pPr>
      <w:r>
        <w:rPr>
          <w:rFonts w:ascii="Arial" w:cs="Arial" w:eastAsia="Arial" w:hAnsi="Arial"/>
          <w:b w:val="false"/>
          <w:bCs w:val="false"/>
          <w:i/>
          <w:iCs/>
          <w:color w:val="888888"/>
          <w:sz w:val="18"/>
          <w:szCs w:val="18"/>
        </w:rPr>
        <w:t xml:space="preserve">அருவி  ·  waterfall  ·  the innate potential to flow</w:t>
      </w:r>
    </w:p>
    <w:p>
      <w:pPr>
        <w:spacing w:after="120" w:before="0"/>
        <w:jc w:val="left"/>
      </w:pPr>
      <w:r>
        <w:rPr>
          <w:rFonts w:ascii="Arial" w:cs="Arial" w:eastAsia="Arial" w:hAnsi="Arial"/>
          <w:b/>
          <w:bCs/>
          <w:i w:val="false"/>
          <w:iCs w:val="false"/>
          <w:color w:val="1F2937"/>
          <w:sz w:val="22"/>
          <w:szCs w:val="22"/>
        </w:rPr>
        <w:t xml:space="preserve">An NCF 2023-Aligned Pedagogical Platform for Indian Schools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shd w:fill="E8F4F1" w:color="E8F4F1" w:val="solid"/>
            <w:tcMar>
              <w:top w:type="dxa" w:w="140"/>
              <w:left w:type="dxa" w:w="200"/>
              <w:bottom w:type="dxa" w:w="140"/>
              <w:right w:type="dxa" w:w="200"/>
            </w:tcMar>
          </w:tcPr>
          <w:p>
            <w:pPr>
              <w:spacing w:after="40" w:before="0"/>
            </w:pPr>
            <w:r>
              <w:rPr>
                <w:rFonts w:ascii="Arial" w:cs="Arial" w:eastAsia="Arial" w:hAnsi="Arial"/>
                <w:b/>
                <w:bCs/>
                <w:i w:val="false"/>
                <w:iCs w:val="false"/>
                <w:color w:val="1A6B5A"/>
                <w:sz w:val="18"/>
                <w:szCs w:val="18"/>
              </w:rPr>
              <w:t xml:space="preserve">Full Project Report</w:t>
            </w:r>
          </w:p>
          <w:p>
            <w:pPr>
              <w:spacing w:after="20" w:before="0"/>
            </w:pPr>
            <w:r>
              <w:rPr>
                <w:rFonts w:ascii="Arial" w:cs="Arial" w:eastAsia="Arial" w:hAnsi="Arial"/>
                <w:b w:val="false"/>
                <w:bCs w:val="false"/>
                <w:i w:val="false"/>
                <w:iCs w:val="false"/>
                <w:color w:val="555555"/>
                <w:sz w:val="16"/>
                <w:szCs w:val="16"/>
              </w:rPr>
              <w:t xml:space="preserve">Vision  ·  Architecture  ·  Constitution Framework</w:t>
            </w:r>
          </w:p>
          <w:p>
            <w:pPr>
              <w:spacing w:after="0" w:before="0"/>
            </w:pPr>
            <w:r>
              <w:rPr>
                <w:rFonts w:ascii="Arial" w:cs="Arial" w:eastAsia="Arial" w:hAnsi="Arial"/>
                <w:b w:val="false"/>
                <w:bCs w:val="false"/>
                <w:i w:val="false"/>
                <w:iCs w:val="false"/>
                <w:color w:val="555555"/>
                <w:sz w:val="16"/>
                <w:szCs w:val="16"/>
              </w:rPr>
              <w:t xml:space="preserve">Annual Planning Engine  ·  Token Economics  ·  Roadmap</w:t>
            </w:r>
          </w:p>
        </w:tc>
        <w:tc>
          <w:tcPr>
            <w:tcW w:type="pct" w:w="50%"/>
            <w:shd w:fill="FEF3C7" w:color="FEF3C7" w:val="solid"/>
            <w:tcMar>
              <w:top w:type="dxa" w:w="140"/>
              <w:left w:type="dxa" w:w="200"/>
              <w:bottom w:type="dxa" w:w="140"/>
              <w:right w:type="dxa" w:w="200"/>
            </w:tcMar>
          </w:tcPr>
          <w:p>
            <w:pPr>
              <w:spacing w:after="40" w:before="0"/>
            </w:pPr>
            <w:r>
              <w:rPr>
                <w:rFonts w:ascii="Arial" w:cs="Arial" w:eastAsia="Arial" w:hAnsi="Arial"/>
                <w:b/>
                <w:bCs/>
                <w:i w:val="false"/>
                <w:iCs w:val="false"/>
                <w:color w:val="B45309"/>
                <w:sz w:val="18"/>
                <w:szCs w:val="18"/>
              </w:rPr>
              <w:t xml:space="preserve">Version 3</w:t>
            </w:r>
          </w:p>
          <w:p>
            <w:pPr>
              <w:spacing w:after="20" w:before="0"/>
            </w:pPr>
            <w:r>
              <w:rPr>
                <w:rFonts w:ascii="Arial" w:cs="Arial" w:eastAsia="Arial" w:hAnsi="Arial"/>
                <w:b w:val="false"/>
                <w:bCs w:val="false"/>
                <w:i w:val="false"/>
                <w:iCs w:val="false"/>
                <w:color w:val="555555"/>
                <w:sz w:val="16"/>
                <w:szCs w:val="16"/>
              </w:rPr>
              <w:t xml:space="preserve">Updated to reflect Constitution Framework</w:t>
            </w:r>
          </w:p>
          <w:p>
            <w:pPr>
              <w:spacing w:after="0" w:before="0"/>
            </w:pPr>
            <w:r>
              <w:rPr>
                <w:rFonts w:ascii="Arial" w:cs="Arial" w:eastAsia="Arial" w:hAnsi="Arial"/>
                <w:b w:val="false"/>
                <w:bCs w:val="false"/>
                <w:i w:val="false"/>
                <w:iCs w:val="false"/>
                <w:color w:val="555555"/>
                <w:sz w:val="16"/>
                <w:szCs w:val="16"/>
              </w:rPr>
              <w:t xml:space="preserve">Three-Constitution Architecture  ·  Revised input document map</w:t>
            </w:r>
          </w:p>
        </w:tc>
      </w:tr>
    </w:tbl>
    <w:p>
      <w:pPr>
        <w:spacing w:after="0" w:before="60"/>
      </w:pP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1  —  VISION &amp; CORE PROBLEM</w:t>
            </w:r>
          </w:p>
        </w:tc>
      </w:tr>
    </w:tbl>
    <w:p>
      <w:pPr>
        <w:spacing w:after="0" w:before="60"/>
      </w:pPr>
    </w:p>
    <w:p>
      <w:pPr>
        <w:spacing w:after="60" w:before="180"/>
        <w:jc w:val="left"/>
      </w:pPr>
      <w:r>
        <w:rPr>
          <w:rFonts w:ascii="Arial" w:cs="Arial" w:eastAsia="Arial" w:hAnsi="Arial"/>
          <w:b/>
          <w:bCs/>
          <w:i w:val="false"/>
          <w:iCs w:val="false"/>
          <w:color w:val="1A6B5A"/>
          <w:sz w:val="19"/>
          <w:szCs w:val="19"/>
        </w:rPr>
        <w:t xml:space="preserve">1.  </w:t>
      </w:r>
      <w:r>
        <w:rPr>
          <w:rFonts w:ascii="Arial" w:cs="Arial" w:eastAsia="Arial" w:hAnsi="Arial"/>
          <w:b/>
          <w:bCs/>
          <w:i w:val="false"/>
          <w:iCs w:val="false"/>
          <w:color w:val="1A6B5A"/>
          <w:sz w:val="19"/>
          <w:szCs w:val="19"/>
        </w:rPr>
        <w:t xml:space="preserve">What Aruvi Is</w:t>
      </w:r>
    </w:p>
    <w:p>
      <w:pPr>
        <w:spacing w:after="80" w:before="0"/>
        <w:jc w:val="left"/>
      </w:pPr>
      <w:r>
        <w:rPr>
          <w:rFonts w:ascii="Arial" w:cs="Arial" w:eastAsia="Arial" w:hAnsi="Arial"/>
          <w:b w:val="false"/>
          <w:bCs w:val="false"/>
          <w:i w:val="false"/>
          <w:iCs w:val="false"/>
          <w:color w:val="1F2937"/>
          <w:sz w:val="17"/>
          <w:szCs w:val="17"/>
        </w:rPr>
        <w:t xml:space="preserve">India's NEP 2020 and NCF 2023 represent a genuine pedagogical shift — from chapter completion to competency development. The policy is detailed and the ambition is clear. What most schools lack is the translation layer: a system that connects daily teaching to the specific Curricular Goals the NCF mandates, plans the year so as to achieve key competencies rather than mere content completion, and aligns the entire school under a purposive curriculum that contributes to true learning whilst complying with regulatory norms.</w:t>
      </w:r>
    </w:p>
    <w:p>
      <w:pPr>
        <w:spacing w:after="80" w:before="0"/>
        <w:jc w:val="left"/>
      </w:pPr>
      <w:r>
        <w:rPr>
          <w:rFonts w:ascii="Arial" w:cs="Arial" w:eastAsia="Arial" w:hAnsi="Arial"/>
          <w:b w:val="false"/>
          <w:bCs w:val="false"/>
          <w:i w:val="false"/>
          <w:iCs w:val="false"/>
          <w:color w:val="1F2937"/>
          <w:sz w:val="17"/>
          <w:szCs w:val="17"/>
        </w:rPr>
        <w:t xml:space="preserve">Aruvi is not a content generator. It is not a chatbot. It is a curriculum-constrained pedagogical orchestrator: a system that maps NCF Curricular Goals and competency codes to NCERT-mandated teaching content, generates time-constrained classroom-ready lesson plans grounded in that framework, produces optimised annual teaching plans that allocate CBSE periods by competency weight rather than chapter length, and creates audit-ready documentation at every level from the individual lesson to the school-wide annual plan.</w:t>
      </w:r>
    </w:p>
    <w:p>
      <w:pPr>
        <w:spacing w:after="60" w:before="180"/>
        <w:jc w:val="left"/>
      </w:pPr>
      <w:r>
        <w:rPr>
          <w:rFonts w:ascii="Arial" w:cs="Arial" w:eastAsia="Arial" w:hAnsi="Arial"/>
          <w:b/>
          <w:bCs/>
          <w:i w:val="false"/>
          <w:iCs w:val="false"/>
          <w:color w:val="1A6B5A"/>
          <w:sz w:val="19"/>
          <w:szCs w:val="19"/>
        </w:rPr>
        <w:t xml:space="preserve">1.1  </w:t>
      </w:r>
      <w:r>
        <w:rPr>
          <w:rFonts w:ascii="Arial" w:cs="Arial" w:eastAsia="Arial" w:hAnsi="Arial"/>
          <w:b/>
          <w:bCs/>
          <w:i w:val="false"/>
          <w:iCs w:val="false"/>
          <w:color w:val="1A6B5A"/>
          <w:sz w:val="19"/>
          <w:szCs w:val="19"/>
        </w:rPr>
        <w:t xml:space="preserve">The Two Problems Aruvi Solves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User</w:t>
            </w:r>
          </w:p>
        </w:tc>
        <w:tc>
          <w:tcPr>
            <w:tcW w:type="pct" w:w="6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Problem</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Teacher</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She knows her chapter. She does not have time to identify which NCF competencies it develops, design activities around them, allocate her available periods sensibly, and produce documentation — all before 8 AM.</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Principal</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Responsible for every child's success, she lacks a tool to ensure NCF competency alignment across grades. She needs a whole-school planning instrument that synchronises teaching to stage-level targets, eliminates learning gaps, and provides documentation to prove the school is fulfilling the NCF promise.</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1.2  </w:t>
      </w:r>
      <w:r>
        <w:rPr>
          <w:rFonts w:ascii="Arial" w:cs="Arial" w:eastAsia="Arial" w:hAnsi="Arial"/>
          <w:b/>
          <w:bCs/>
          <w:i w:val="false"/>
          <w:iCs w:val="false"/>
          <w:color w:val="1A6B5A"/>
          <w:sz w:val="19"/>
          <w:szCs w:val="19"/>
        </w:rPr>
        <w:t xml:space="preserve">What Makes Aruvi Competitive</w:t>
      </w:r>
    </w:p>
    <w:p>
      <w:pPr>
        <w:spacing w:after="80" w:before="0"/>
        <w:jc w:val="left"/>
      </w:pPr>
      <w:r>
        <w:rPr>
          <w:rFonts w:ascii="Arial" w:cs="Arial" w:eastAsia="Arial" w:hAnsi="Arial"/>
          <w:b w:val="false"/>
          <w:bCs w:val="false"/>
          <w:i w:val="false"/>
          <w:iCs w:val="false"/>
          <w:color w:val="1F2937"/>
          <w:sz w:val="17"/>
          <w:szCs w:val="17"/>
        </w:rPr>
        <w:t xml:space="preserve">The raw ingredients — NCF documents, NCERT books, even AI models — are publicly available. The moat is four-fold:</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Aruvi generates optimised annual plans in seconds, prioritising competency achievement over chapter completion. It manages year-long complexity a teacher cannot.</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Lesson plans embody NCF-prescribed pedagogy — inquiry, discussion, local connection — informed directly by official subject position papers. The result reflects the framework's true pedagogical intent, not just its technical codes.</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Institutional coherence. A single teacher using AI gets a lesson plan. A school using Aruvi gets a coherent annual plan where every teacher's chapter allocation derives from the same competency logic and the same period budget.</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The compliance narrative. What IB schools pay curriculum coordinators lakhs of rupees to produce — a documented, defensible, framework-aligned annual plan — Aruvi produces automatically. Aruvi is the curriculum coordinator.</w:t>
      </w:r>
    </w:p>
    <w:p>
      <w:pPr>
        <w:spacing w:after="0" w:before="40"/>
      </w:pP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2  —  CONTENT &amp; DATA ARCHITECTURE</w:t>
            </w:r>
          </w:p>
        </w:tc>
      </w:tr>
    </w:tbl>
    <w:p>
      <w:pPr>
        <w:spacing w:after="0" w:before="60"/>
      </w:pPr>
    </w:p>
    <w:p>
      <w:pPr>
        <w:spacing w:after="60" w:before="180"/>
        <w:jc w:val="left"/>
      </w:pPr>
      <w:r>
        <w:rPr>
          <w:rFonts w:ascii="Arial" w:cs="Arial" w:eastAsia="Arial" w:hAnsi="Arial"/>
          <w:b/>
          <w:bCs/>
          <w:i w:val="false"/>
          <w:iCs w:val="false"/>
          <w:color w:val="1A6B5A"/>
          <w:sz w:val="19"/>
          <w:szCs w:val="19"/>
        </w:rPr>
        <w:t xml:space="preserve">2.1  </w:t>
      </w:r>
      <w:r>
        <w:rPr>
          <w:rFonts w:ascii="Arial" w:cs="Arial" w:eastAsia="Arial" w:hAnsi="Arial"/>
          <w:b/>
          <w:bCs/>
          <w:i w:val="false"/>
          <w:iCs w:val="false"/>
          <w:color w:val="1A6B5A"/>
          <w:sz w:val="19"/>
          <w:szCs w:val="19"/>
        </w:rPr>
        <w:t xml:space="preserve">The Two Storage Systems</w:t>
      </w:r>
    </w:p>
    <w:p>
      <w:pPr>
        <w:spacing w:after="80" w:before="0"/>
        <w:jc w:val="left"/>
      </w:pPr>
      <w:r>
        <w:rPr>
          <w:rFonts w:ascii="Arial" w:cs="Arial" w:eastAsia="Arial" w:hAnsi="Arial"/>
          <w:b w:val="false"/>
          <w:bCs w:val="false"/>
          <w:i w:val="false"/>
          <w:iCs w:val="false"/>
          <w:color w:val="1F2937"/>
          <w:sz w:val="17"/>
          <w:szCs w:val="17"/>
        </w:rPr>
        <w:t xml:space="preserve">Aruvi uses two fundamentally different storage mechanisms that serve different purposes and must not be confused.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Storage Type</w:t>
            </w:r>
          </w:p>
        </w:tc>
        <w:tc>
          <w:tcPr>
            <w:tcW w:type="pct" w:w="6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Purpose &amp; Access Pattern</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Vector Store (ChromaDB)</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Stores NCF framework documents as embedded text chunks. Retrieved by semantic similarity during lesson plan and assessment generation. Queried at runtime to provide pedagogical grounding and competency code context.</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Structured JSON Store</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Stores pre-computed chapter-to-competency mappings with weight scores. Retrieved by exact key lookup. Used by the annual plan optimiser and the lesson plan generator. Never regenerated unless the textbook changes.</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2.2  </w:t>
      </w:r>
      <w:r>
        <w:rPr>
          <w:rFonts w:ascii="Arial" w:cs="Arial" w:eastAsia="Arial" w:hAnsi="Arial"/>
          <w:b/>
          <w:bCs/>
          <w:i w:val="false"/>
          <w:iCs w:val="false"/>
          <w:color w:val="1A6B5A"/>
          <w:sz w:val="19"/>
          <w:szCs w:val="19"/>
        </w:rPr>
        <w:t xml:space="preserve">What Goes Into the Vector Store</w:t>
      </w:r>
    </w:p>
    <w:p>
      <w:pPr>
        <w:spacing w:after="80" w:before="0"/>
        <w:jc w:val="left"/>
      </w:pPr>
      <w:r>
        <w:rPr>
          <w:rFonts w:ascii="Arial" w:cs="Arial" w:eastAsia="Arial" w:hAnsi="Arial"/>
          <w:b w:val="false"/>
          <w:bCs w:val="false"/>
          <w:i w:val="false"/>
          <w:iCs w:val="false"/>
          <w:color w:val="1F2937"/>
          <w:sz w:val="17"/>
          <w:szCs w:val="17"/>
        </w:rPr>
        <w:t xml:space="preserve">The vector store is intentionally lean. Only documents that are explicitly required as inputs by a named constitution rule are ingested. Everything else is excluded — not merely omitted but positively rejected, because unnecessary documents dilute retrieval precision and add token cost to every generation call with no benefit.</w:t>
      </w:r>
    </w:p>
    <w:p>
      <w:pPr>
        <w:spacing w:after="80" w:before="0"/>
        <w:jc w:val="left"/>
      </w:pPr>
      <w:r>
        <w:rPr>
          <w:rFonts w:ascii="Arial" w:cs="Arial" w:eastAsia="Arial" w:hAnsi="Arial"/>
          <w:b w:val="false"/>
          <w:bCs w:val="false"/>
          <w:i w:val="false"/>
          <w:iCs w:val="false"/>
          <w:color w:val="1F2937"/>
          <w:sz w:val="17"/>
          <w:szCs w:val="17"/>
        </w:rPr>
        <w:t xml:space="preserve">All chunks are tagged with four metadata fields: stage, subject, grade, and doc_type. When generating a Class VII Social Science lesson plan, the system retrieves only Middle Stage Social Science content — never content from another stage or subject. Composite NCF documents must be divided by stage and subject before ingestion.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Document Type</w:t>
            </w:r>
          </w:p>
        </w:tc>
        <w:tc>
          <w:tcPr>
            <w:tcW w:type="pct" w:w="58%"/>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Why It Is Here — Constitution Reference</w:t>
            </w:r>
          </w:p>
        </w:tc>
        <w:tc>
          <w:tcPr>
            <w:tcW w:type="pct" w:w="17%"/>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Grade Tag</w:t>
            </w:r>
          </w:p>
        </w:tc>
      </w:tr>
      <w:tr>
        <w:tc>
          <w:tcPr>
            <w:tcW w:type="pct" w:w="2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Curricular Goals</w:t>
            </w:r>
          </w:p>
        </w:tc>
        <w:tc>
          <w:tcPr>
            <w:tcW w:type="pct" w:w="5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C-code definitions, cognitive demand descriptions, and CG-to-competency mappings. Required by the Lesson Plan Constitution (competency code context) and by the Assessment Constitution (C-code definitions and cognitive demands). Also extracted to JSON reference at build time for the mapping process.</w:t>
            </w:r>
          </w:p>
        </w:tc>
        <w:tc>
          <w:tcPr>
            <w:tcW w:type="pct" w:w="17%"/>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all grades</w:t>
            </w:r>
          </w:p>
        </w:tc>
      </w:tr>
      <w:tr>
        <w:tc>
          <w:tcPr>
            <w:tcW w:type="pct" w:w="2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Pedagogy</w:t>
            </w:r>
          </w:p>
        </w:tc>
        <w:tc>
          <w:tcPr>
            <w:tcW w:type="pct" w:w="58%"/>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NCF 2023 pedagogical approach for the subject at this stage. Required exclusively by Lesson Plan Constitution Rule 6 — the rule mandating that pedagogical approach categories come from this document and no other.</w:t>
            </w:r>
          </w:p>
        </w:tc>
        <w:tc>
          <w:tcPr>
            <w:tcW w:type="pct" w:w="17%"/>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all grades</w:t>
            </w:r>
          </w:p>
        </w:tc>
      </w:tr>
    </w:tbl>
    <w:p>
      <w:pPr>
        <w:spacing w:after="0" w:before="80"/>
      </w:pPr>
    </w:p>
    <w:tbl>
      <w:tblPr>
        <w:tblW w:type="pct" w:w="100%"/>
        <w:tblBorders>
          <w:top w:val="none"/>
          <w:left w:val="single" w:color="B45309" w:sz="16"/>
          <w:bottom w:val="none"/>
          <w:right w:val="none"/>
          <w:insideH w:val="single" w:color="auto" w:sz="4"/>
          <w:insideV w:val="single" w:color="auto" w:sz="4"/>
        </w:tblBorders>
      </w:tblPr>
      <w:tblGrid>
        <w:gridCol w:w="100"/>
      </w:tblGrid>
      <w:tr>
        <w:tc>
          <w:tcPr>
            <w:shd w:fill="FEF3C7" w:color="FEF3C7" w:val="solid"/>
            <w:tcMar>
              <w:top w:type="dxa" w:w="100"/>
              <w:left w:type="dxa" w:w="160"/>
              <w:bottom w:type="dxa" w:w="100"/>
              <w:right w:type="dxa" w:w="160"/>
            </w:tcMar>
          </w:tcPr>
          <w:p>
            <w:pPr>
              <w:spacing w:after="50" w:before="0"/>
            </w:pPr>
            <w:r>
              <w:rPr>
                <w:rFonts w:ascii="Arial" w:cs="Arial" w:eastAsia="Arial" w:hAnsi="Arial"/>
                <w:b/>
                <w:bCs/>
                <w:i w:val="false"/>
                <w:iCs w:val="false"/>
                <w:color w:val="B45309"/>
                <w:sz w:val="17"/>
                <w:szCs w:val="17"/>
              </w:rPr>
              <w:t xml:space="preserve">What Does NOT Go Into the Vector Store — and Why</w:t>
            </w:r>
          </w:p>
          <w:p>
            <w:pPr>
              <w:spacing w:after="40" w:before="0"/>
            </w:pPr>
            <w:r>
              <w:rPr>
                <w:rFonts w:ascii="Arial" w:cs="Arial" w:eastAsia="Arial" w:hAnsi="Arial"/>
                <w:b w:val="false"/>
                <w:bCs w:val="false"/>
                <w:i w:val="false"/>
                <w:iCs w:val="false"/>
                <w:color w:val="1F2937"/>
                <w:sz w:val="16"/>
                <w:szCs w:val="16"/>
              </w:rPr>
              <w:t xml:space="preserve">NCERT textbook content: used once at build time to generate the Chapter Mapping JSON. Not retained in the live system.</w:t>
            </w:r>
          </w:p>
          <w:p>
            <w:pPr>
              <w:spacing w:after="40" w:before="0"/>
            </w:pPr>
            <w:r>
              <w:rPr>
                <w:rFonts w:ascii="Arial" w:cs="Arial" w:eastAsia="Arial" w:hAnsi="Arial"/>
                <w:b w:val="false"/>
                <w:bCs w:val="false"/>
                <w:i w:val="false"/>
                <w:iCs w:val="false"/>
                <w:color w:val="1F2937"/>
                <w:sz w:val="16"/>
                <w:szCs w:val="16"/>
              </w:rPr>
              <w:t xml:space="preserve">Learning Outcomes (NCERT grade-level): explicitly prohibited as an input by Lesson Plan Constitution Rule 7. LOs are outputs of activity design, not inputs to it.</w:t>
            </w:r>
          </w:p>
          <w:p>
            <w:pPr>
              <w:spacing w:after="40" w:before="0"/>
            </w:pPr>
            <w:r>
              <w:rPr>
                <w:rFonts w:ascii="Arial" w:cs="Arial" w:eastAsia="Arial" w:hAnsi="Arial"/>
                <w:b w:val="false"/>
                <w:bCs w:val="false"/>
                <w:i w:val="false"/>
                <w:iCs w:val="false"/>
                <w:color w:val="1F2937"/>
                <w:sz w:val="16"/>
                <w:szCs w:val="16"/>
              </w:rPr>
              <w:t xml:space="preserve">Assessment Framework: not listed as an input by the Assessment Constitution. That constitution's three inputs are the LO Handoff, the Chapter Mapping JSON, and the Curricular Goals document — all accessed via the JSON store or runtime flow, not ChromaDB.</w:t>
            </w:r>
          </w:p>
          <w:p>
            <w:pPr>
              <w:spacing w:after="40" w:before="0"/>
            </w:pPr>
            <w:r>
              <w:rPr>
                <w:rFonts w:ascii="Arial" w:cs="Arial" w:eastAsia="Arial" w:hAnsi="Arial"/>
                <w:b w:val="false"/>
                <w:bCs w:val="false"/>
                <w:i w:val="false"/>
                <w:iCs w:val="false"/>
                <w:color w:val="1F2937"/>
                <w:sz w:val="16"/>
                <w:szCs w:val="16"/>
              </w:rPr>
              <w:t xml:space="preserve">Learning Standards, Syllabus, Position Papers: prohibited by all four Competency Mapping Constitutions during build; referenced by no constitution at runtime.</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2.3  </w:t>
      </w:r>
      <w:r>
        <w:rPr>
          <w:rFonts w:ascii="Arial" w:cs="Arial" w:eastAsia="Arial" w:hAnsi="Arial"/>
          <w:b/>
          <w:bCs/>
          <w:i w:val="false"/>
          <w:iCs w:val="false"/>
          <w:color w:val="1A6B5A"/>
          <w:sz w:val="19"/>
          <w:szCs w:val="19"/>
        </w:rPr>
        <w:t xml:space="preserve">The Chapter Mapping JSON — The Spine of the System</w:t>
      </w:r>
    </w:p>
    <w:p>
      <w:pPr>
        <w:spacing w:after="80" w:before="0"/>
        <w:jc w:val="left"/>
      </w:pPr>
      <w:r>
        <w:rPr>
          <w:rFonts w:ascii="Arial" w:cs="Arial" w:eastAsia="Arial" w:hAnsi="Arial"/>
          <w:b w:val="false"/>
          <w:bCs w:val="false"/>
          <w:i w:val="false"/>
          <w:iCs w:val="false"/>
          <w:color w:val="1F2937"/>
          <w:sz w:val="17"/>
          <w:szCs w:val="17"/>
        </w:rPr>
        <w:t xml:space="preserve">For every chapter of every NCERT textbook across all stages and subjects, the JSON store holds one record. This record is generated once during the platform build process and never regenerated unless the textbook changes. The chapter_summary field is the content backbone of every lesson plan generated from this chapter: a 600–900 word structured summary mirroring every major heading and subheading in the textbook, with 2–3 sentences per section explaining key concepts, significant terms, and where relevant the textbook's own activities. This eliminates hallucination risk entirely — every lesson plan is grounded in the same faithful representation of what the chapter actually teaches.</w:t>
      </w:r>
    </w:p>
    <w:p>
      <w:pPr>
        <w:spacing w:after="80" w:before="0"/>
        <w:jc w:val="left"/>
      </w:pPr>
      <w:r>
        <w:rPr>
          <w:rFonts w:ascii="Arial" w:cs="Arial" w:eastAsia="Arial" w:hAnsi="Arial"/>
          <w:b w:val="false"/>
          <w:bCs w:val="false"/>
          <w:i w:val="false"/>
          <w:iCs w:val="false"/>
          <w:color w:val="1F2937"/>
          <w:sz w:val="17"/>
          <w:szCs w:val="17"/>
        </w:rPr>
        <w:t xml:space="preserve">Each chapter record carries: structured chapter summary (600–900 words), primary competency codes with weight scores (3/2/1) and justifications, incidental competency codes (noted but not used for period allocation), and the chapter_weight (sum of all primary weight scores).</w:t>
      </w:r>
    </w:p>
    <w:p>
      <w:pPr>
        <w:spacing w:after="60" w:before="180"/>
        <w:jc w:val="left"/>
      </w:pPr>
      <w:r>
        <w:rPr>
          <w:rFonts w:ascii="Arial" w:cs="Arial" w:eastAsia="Arial" w:hAnsi="Arial"/>
          <w:b/>
          <w:bCs/>
          <w:i w:val="false"/>
          <w:iCs w:val="false"/>
          <w:color w:val="1A6B5A"/>
          <w:sz w:val="19"/>
          <w:szCs w:val="19"/>
        </w:rPr>
        <w:t xml:space="preserve">2.4  </w:t>
      </w:r>
      <w:r>
        <w:rPr>
          <w:rFonts w:ascii="Arial" w:cs="Arial" w:eastAsia="Arial" w:hAnsi="Arial"/>
          <w:b/>
          <w:bCs/>
          <w:i w:val="false"/>
          <w:iCs w:val="false"/>
          <w:color w:val="1A6B5A"/>
          <w:sz w:val="19"/>
          <w:szCs w:val="19"/>
        </w:rPr>
        <w:t xml:space="preserve">The Competency Weight Score</w:t>
      </w:r>
    </w:p>
    <w:p>
      <w:pPr>
        <w:spacing w:after="80" w:before="0"/>
        <w:jc w:val="left"/>
      </w:pPr>
      <w:r>
        <w:rPr>
          <w:rFonts w:ascii="Arial" w:cs="Arial" w:eastAsia="Arial" w:hAnsi="Arial"/>
          <w:b w:val="false"/>
          <w:bCs w:val="false"/>
          <w:i w:val="false"/>
          <w:iCs w:val="false"/>
          <w:color w:val="1F2937"/>
          <w:sz w:val="17"/>
          <w:szCs w:val="17"/>
        </w:rPr>
        <w:t xml:space="preserve">Since teaching time is limited, Aruvi uses NCF stage competencies to allocate time across chapters. The weight reflects how central an identified competency is to the chapter's own content and structure — not an external judgment imposed on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Weight</w:t>
            </w:r>
          </w:p>
        </w:tc>
        <w:tc>
          <w:tcPr>
            <w:tcW w:type="pct" w:w="4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What It Means</w:t>
            </w:r>
          </w:p>
        </w:tc>
        <w:tc>
          <w:tcPr>
            <w:tcW w:type="pct" w:w="40%"/>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Example</w:t>
            </w:r>
          </w:p>
        </w:tc>
      </w:tr>
      <w:tr>
        <w:tc>
          <w:tcPr>
            <w:tcW w:type="pct" w:w="1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3 — Central</w:t>
            </w:r>
          </w:p>
        </w:tc>
        <w:tc>
          <w:tcPr>
            <w:tcW w:type="pct" w:w="4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The competency is what the chapter is fundamentally about. Remove it and the chapter loses its purpose.</w:t>
            </w:r>
          </w:p>
        </w:tc>
        <w:tc>
          <w:tcPr>
            <w:tcW w:type="pct" w:w="40%"/>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 chapter on Akbar's sulh-i-kul policy: C-7.3 (India's tradition of inclusion) scores 3 — the chapter cannot be taught without this at its core.</w:t>
            </w:r>
          </w:p>
        </w:tc>
      </w:tr>
      <w:tr>
        <w:tc>
          <w:tcPr>
            <w:tcW w:type="pct" w:w="18%"/>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2 — Substantive</w:t>
            </w:r>
          </w:p>
        </w:tc>
        <w:tc>
          <w:tcPr>
            <w:tcW w:type="pct" w:w="4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Meaningfully developed — dedicated sections or activities — but shares the chapter with other equally significant competencies.</w:t>
            </w:r>
          </w:p>
        </w:tc>
        <w:tc>
          <w:tcPr>
            <w:tcW w:type="pct" w:w="40%"/>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Same chapter: C-2.2 (continuity of beliefs and practices) scores 2 — addressed with care but not the chapter's defining purpose.</w:t>
            </w:r>
          </w:p>
        </w:tc>
      </w:tr>
      <w:tr>
        <w:tc>
          <w:tcPr>
            <w:tcW w:type="pct" w:w="1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 — Present</w:t>
            </w:r>
          </w:p>
        </w:tc>
        <w:tc>
          <w:tcPr>
            <w:tcW w:type="pct" w:w="4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Addressed but briefly — a paragraph, a sidebar, a single activity. Genuinely there but would not justify extra periods on its own.</w:t>
            </w:r>
          </w:p>
        </w:tc>
        <w:tc>
          <w:tcPr>
            <w:tcW w:type="pct" w:w="40%"/>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Same chapter: C-1.1 (interpreting sources) scores 1 — one primary source activity, but source analysis is not the chapter's focus.</w:t>
            </w:r>
          </w:p>
        </w:tc>
      </w:tr>
    </w:tbl>
    <w:p>
      <w:pPr>
        <w:spacing w:after="0" w:before="80"/>
      </w:pPr>
    </w:p>
    <w:p>
      <w:pPr>
        <w:spacing w:after="80" w:before="0"/>
        <w:jc w:val="left"/>
      </w:pPr>
      <w:r>
        <w:rPr>
          <w:rFonts w:ascii="Arial" w:cs="Arial" w:eastAsia="Arial" w:hAnsi="Arial"/>
          <w:b w:val="false"/>
          <w:bCs w:val="false"/>
          <w:i w:val="false"/>
          <w:iCs w:val="false"/>
          <w:color w:val="1F2937"/>
          <w:sz w:val="17"/>
          <w:szCs w:val="17"/>
        </w:rPr>
        <w:t xml:space="preserve">Incidental competencies arise from the content but are not taught with deliberate depth. They are noted in the JSON for completeness but do not influence period allocation. The chapter_weight is the sum of all primary weight scores. The annual plan distributes periods proportionate to each chapter's chapter_weight as a share of the combined weight across all selected chapters.</w:t>
      </w: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30" w:before="0"/>
            </w:pPr>
            <w:r>
              <w:rPr>
                <w:rFonts w:ascii="Arial" w:cs="Arial" w:eastAsia="Arial" w:hAnsi="Arial"/>
                <w:b/>
                <w:bCs/>
                <w:i w:val="false"/>
                <w:iCs w:val="false"/>
                <w:color w:val="FFFFFF"/>
                <w:sz w:val="22"/>
                <w:szCs w:val="22"/>
              </w:rPr>
              <w:t xml:space="preserve">SECTION 3  —  THE CONSTITUTION FRAMEWORK</w:t>
            </w:r>
          </w:p>
          <w:p>
            <w:pPr>
              <w:spacing w:after="0" w:before="0"/>
            </w:pPr>
            <w:r>
              <w:rPr>
                <w:rFonts w:ascii="Arial" w:cs="Arial" w:eastAsia="Arial" w:hAnsi="Arial"/>
                <w:b w:val="false"/>
                <w:bCs w:val="false"/>
                <w:i/>
                <w:iCs/>
                <w:color w:val="C8E6C9"/>
                <w:sz w:val="16"/>
                <w:szCs w:val="16"/>
              </w:rPr>
              <w:t xml:space="preserve">The governance layer that makes AI decision-making trustworthy and auditable</w:t>
            </w:r>
          </w:p>
        </w:tc>
      </w:tr>
    </w:tbl>
    <w:p>
      <w:pPr>
        <w:spacing w:after="0" w:before="60"/>
      </w:pPr>
    </w:p>
    <w:p>
      <w:pPr>
        <w:spacing w:after="80" w:before="0"/>
        <w:jc w:val="left"/>
      </w:pPr>
      <w:r>
        <w:rPr>
          <w:rFonts w:ascii="Arial" w:cs="Arial" w:eastAsia="Arial" w:hAnsi="Arial"/>
          <w:b w:val="false"/>
          <w:bCs w:val="false"/>
          <w:i w:val="false"/>
          <w:iCs w:val="false"/>
          <w:color w:val="1F2937"/>
          <w:sz w:val="17"/>
          <w:szCs w:val="17"/>
        </w:rPr>
        <w:t xml:space="preserve">The single most important architectural addition since the initial report is the Constitution Framework: a set of prescriptive rule documents that govern how the AI makes decisions at each stage of the system. Constitutions replace ad hoc prompting with a permanent, versioned governance layer. Each constitution is a discrete document stored in the knowledge commons and retrieved by exact key lookup — not by semantic search.</w:t>
      </w:r>
    </w:p>
    <w:p>
      <w:pPr>
        <w:spacing w:after="60" w:before="180"/>
        <w:jc w:val="left"/>
      </w:pPr>
      <w:r>
        <w:rPr>
          <w:rFonts w:ascii="Arial" w:cs="Arial" w:eastAsia="Arial" w:hAnsi="Arial"/>
          <w:b/>
          <w:bCs/>
          <w:i w:val="false"/>
          <w:iCs w:val="false"/>
          <w:color w:val="1A6B5A"/>
          <w:sz w:val="19"/>
          <w:szCs w:val="19"/>
        </w:rPr>
        <w:t xml:space="preserve">3.1  </w:t>
      </w:r>
      <w:r>
        <w:rPr>
          <w:rFonts w:ascii="Arial" w:cs="Arial" w:eastAsia="Arial" w:hAnsi="Arial"/>
          <w:b/>
          <w:bCs/>
          <w:i w:val="false"/>
          <w:iCs w:val="false"/>
          <w:color w:val="1A6B5A"/>
          <w:sz w:val="19"/>
          <w:szCs w:val="19"/>
        </w:rPr>
        <w:t xml:space="preserve">Three-Constitution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E8F4F1" w:color="E8F4F1" w:val="solid"/>
            <w:tcMar>
              <w:top w:type="dxa" w:w="120"/>
              <w:left w:type="dxa" w:w="160"/>
              <w:bottom w:type="dxa" w:w="120"/>
              <w:right w:type="dxa" w:w="160"/>
            </w:tcMar>
          </w:tcPr>
          <w:p>
            <w:pPr>
              <w:spacing w:after="50" w:before="0"/>
            </w:pPr>
            <w:r>
              <w:rPr>
                <w:rFonts w:ascii="Arial" w:cs="Arial" w:eastAsia="Arial" w:hAnsi="Arial"/>
                <w:b/>
                <w:bCs/>
                <w:i w:val="false"/>
                <w:iCs w:val="false"/>
                <w:color w:val="1A6B5A"/>
                <w:sz w:val="17"/>
                <w:szCs w:val="17"/>
              </w:rPr>
              <w:t xml:space="preserve">Chapter Mapping Constitution</w:t>
            </w:r>
          </w:p>
          <w:p>
            <w:pPr>
              <w:spacing w:after="40" w:before="0"/>
            </w:pPr>
            <w:r>
              <w:rPr>
                <w:rFonts w:ascii="Arial" w:cs="Arial" w:eastAsia="Arial" w:hAnsi="Arial"/>
                <w:b w:val="false"/>
                <w:bCs w:val="false"/>
                <w:i w:val="false"/>
                <w:iCs w:val="false"/>
                <w:color w:val="1F2937"/>
                <w:sz w:val="16"/>
                <w:szCs w:val="16"/>
              </w:rPr>
              <w:t xml:space="preserve">Reads: NCERT textbook chapter + Curricular Goals document only. All other documents explicitly prohibited.</w:t>
            </w:r>
          </w:p>
          <w:p>
            <w:pPr>
              <w:spacing w:after="40" w:before="0"/>
            </w:pPr>
            <w:r>
              <w:rPr>
                <w:rFonts w:ascii="Arial" w:cs="Arial" w:eastAsia="Arial" w:hAnsi="Arial"/>
                <w:b w:val="false"/>
                <w:bCs w:val="false"/>
                <w:i w:val="false"/>
                <w:iCs w:val="false"/>
                <w:color w:val="1F2937"/>
                <w:sz w:val="16"/>
                <w:szCs w:val="16"/>
              </w:rPr>
              <w:t xml:space="preserve">Produces: competency mapping with weights, structured chapter summary, section-competency index.</w:t>
            </w:r>
          </w:p>
          <w:p>
            <w:pPr>
              <w:spacing w:after="0" w:before="0"/>
            </w:pPr>
            <w:r>
              <w:rPr>
                <w:rFonts w:ascii="Arial" w:cs="Arial" w:eastAsia="Arial" w:hAnsi="Arial"/>
                <w:b w:val="false"/>
                <w:bCs w:val="false"/>
                <w:i/>
                <w:iCs/>
                <w:color w:val="1A6B5A"/>
                <w:sz w:val="15"/>
                <w:szCs w:val="15"/>
              </w:rPr>
              <w:t xml:space="preserve">Output: Chapter Mapping JSON</w:t>
            </w:r>
          </w:p>
        </w:tc>
        <w:tc>
          <w:tcPr>
            <w:tcW w:type="pct" w:w="34%"/>
            <w:shd w:fill="F5F5F5" w:color="F5F5F5" w:val="solid"/>
            <w:tcMar>
              <w:top w:type="dxa" w:w="120"/>
              <w:left w:type="dxa" w:w="160"/>
              <w:bottom w:type="dxa" w:w="120"/>
              <w:right w:type="dxa" w:w="160"/>
            </w:tcMar>
          </w:tcPr>
          <w:p>
            <w:pPr>
              <w:spacing w:after="50" w:before="0"/>
            </w:pPr>
            <w:r>
              <w:rPr>
                <w:rFonts w:ascii="Arial" w:cs="Arial" w:eastAsia="Arial" w:hAnsi="Arial"/>
                <w:b/>
                <w:bCs/>
                <w:i w:val="false"/>
                <w:iCs w:val="false"/>
                <w:color w:val="1A6B5A"/>
                <w:sz w:val="17"/>
                <w:szCs w:val="17"/>
              </w:rPr>
              <w:t xml:space="preserve">Lesson Plan Constitution</w:t>
            </w:r>
          </w:p>
          <w:p>
            <w:pPr>
              <w:spacing w:after="40" w:before="0"/>
            </w:pPr>
            <w:r>
              <w:rPr>
                <w:rFonts w:ascii="Arial" w:cs="Arial" w:eastAsia="Arial" w:hAnsi="Arial"/>
                <w:b w:val="false"/>
                <w:bCs w:val="false"/>
                <w:i w:val="false"/>
                <w:iCs w:val="false"/>
                <w:color w:val="1F2937"/>
                <w:sz w:val="16"/>
                <w:szCs w:val="16"/>
              </w:rPr>
              <w:t xml:space="preserve">Reads: Chapter Mapping JSON + Pedagogy document + teacher inputs (period count, duration). No other documents.</w:t>
            </w:r>
          </w:p>
          <w:p>
            <w:pPr>
              <w:spacing w:after="40" w:before="0"/>
            </w:pPr>
            <w:r>
              <w:rPr>
                <w:rFonts w:ascii="Arial" w:cs="Arial" w:eastAsia="Arial" w:hAnsi="Arial"/>
                <w:b w:val="false"/>
                <w:bCs w:val="false"/>
                <w:i w:val="false"/>
                <w:iCs w:val="false"/>
                <w:color w:val="1F2937"/>
                <w:sz w:val="16"/>
                <w:szCs w:val="16"/>
              </w:rPr>
              <w:t xml:space="preserve">Produces: period-by-period lesson plan (full period budget = teaching only) + structured LO handoff.</w:t>
            </w:r>
          </w:p>
          <w:p>
            <w:pPr>
              <w:spacing w:after="0" w:before="0"/>
            </w:pPr>
            <w:r>
              <w:rPr>
                <w:rFonts w:ascii="Arial" w:cs="Arial" w:eastAsia="Arial" w:hAnsi="Arial"/>
                <w:b w:val="false"/>
                <w:bCs w:val="false"/>
                <w:i/>
                <w:iCs/>
                <w:color w:val="1A6B5A"/>
                <w:sz w:val="15"/>
                <w:szCs w:val="15"/>
              </w:rPr>
              <w:t xml:space="preserve">Output: Lesson Plan + LO Handoff</w:t>
            </w:r>
          </w:p>
        </w:tc>
        <w:tc>
          <w:tcPr>
            <w:tcW w:type="pct" w:w="33%"/>
            <w:shd w:fill="FEF3C7" w:color="FEF3C7" w:val="solid"/>
            <w:tcMar>
              <w:top w:type="dxa" w:w="120"/>
              <w:left w:type="dxa" w:w="160"/>
              <w:bottom w:type="dxa" w:w="120"/>
              <w:right w:type="dxa" w:w="160"/>
            </w:tcMar>
          </w:tcPr>
          <w:p>
            <w:pPr>
              <w:spacing w:after="50" w:before="0"/>
            </w:pPr>
            <w:r>
              <w:rPr>
                <w:rFonts w:ascii="Arial" w:cs="Arial" w:eastAsia="Arial" w:hAnsi="Arial"/>
                <w:b/>
                <w:bCs/>
                <w:i w:val="false"/>
                <w:iCs w:val="false"/>
                <w:color w:val="B45309"/>
                <w:sz w:val="17"/>
                <w:szCs w:val="17"/>
              </w:rPr>
              <w:t xml:space="preserve">Assessment Constitution</w:t>
            </w:r>
          </w:p>
          <w:p>
            <w:pPr>
              <w:spacing w:after="40" w:before="0"/>
            </w:pPr>
            <w:r>
              <w:rPr>
                <w:rFonts w:ascii="Arial" w:cs="Arial" w:eastAsia="Arial" w:hAnsi="Arial"/>
                <w:b w:val="false"/>
                <w:bCs w:val="false"/>
                <w:i w:val="false"/>
                <w:iCs w:val="false"/>
                <w:color w:val="1F2937"/>
                <w:sz w:val="16"/>
                <w:szCs w:val="16"/>
              </w:rPr>
              <w:t xml:space="preserve">Reads: Structured LO Handoff from lesson plan + Assessment Framework document. Assessment time decisions made here.</w:t>
            </w:r>
          </w:p>
          <w:p>
            <w:pPr>
              <w:spacing w:after="40" w:before="0"/>
            </w:pPr>
            <w:r>
              <w:rPr>
                <w:rFonts w:ascii="Arial" w:cs="Arial" w:eastAsia="Arial" w:hAnsi="Arial"/>
                <w:b w:val="false"/>
                <w:bCs w:val="false"/>
                <w:i w:val="false"/>
                <w:iCs w:val="false"/>
                <w:color w:val="1F2937"/>
                <w:sz w:val="16"/>
                <w:szCs w:val="16"/>
              </w:rPr>
              <w:t xml:space="preserve">Produces: chapter assessment plan anchored to implied LOs from the lesson plan.</w:t>
            </w:r>
          </w:p>
          <w:p>
            <w:pPr>
              <w:spacing w:after="0" w:before="0"/>
            </w:pPr>
            <w:r>
              <w:rPr>
                <w:rFonts w:ascii="Arial" w:cs="Arial" w:eastAsia="Arial" w:hAnsi="Arial"/>
                <w:b w:val="false"/>
                <w:bCs w:val="false"/>
                <w:i/>
                <w:iCs/>
                <w:color w:val="B45309"/>
                <w:sz w:val="15"/>
                <w:szCs w:val="15"/>
              </w:rPr>
              <w:t xml:space="preserve">Output: Assessment Plan</w:t>
            </w:r>
          </w:p>
        </w:tc>
      </w:tr>
    </w:tbl>
    <w:p>
      <w:pPr>
        <w:spacing w:after="0" w:before="80"/>
      </w:pPr>
    </w:p>
    <w:p>
      <w:pPr>
        <w:spacing w:after="80" w:before="0"/>
        <w:jc w:val="left"/>
      </w:pPr>
      <w:r>
        <w:rPr>
          <w:rFonts w:ascii="Arial" w:cs="Arial" w:eastAsia="Arial" w:hAnsi="Arial"/>
          <w:b w:val="false"/>
          <w:bCs w:val="false"/>
          <w:i w:val="false"/>
          <w:iCs w:val="false"/>
          <w:color w:val="1F2937"/>
          <w:sz w:val="17"/>
          <w:szCs w:val="17"/>
        </w:rPr>
        <w:t xml:space="preserve">The handoff between constitutions is always structured data, never free text. The LO Handoff carries: implied LO text, competency target (C-code + weight), and the chapter section from which the activity was drawn. This structured interface ensures the Assessment Constitution never needs to re-read the lesson plan — it receives exactly what it needs.</w:t>
      </w:r>
    </w:p>
    <w:p>
      <w:pPr>
        <w:spacing w:after="60" w:before="180"/>
        <w:jc w:val="left"/>
      </w:pPr>
      <w:r>
        <w:rPr>
          <w:rFonts w:ascii="Arial" w:cs="Arial" w:eastAsia="Arial" w:hAnsi="Arial"/>
          <w:b/>
          <w:bCs/>
          <w:i w:val="false"/>
          <w:iCs w:val="false"/>
          <w:color w:val="1A6B5A"/>
          <w:sz w:val="19"/>
          <w:szCs w:val="19"/>
        </w:rPr>
        <w:t xml:space="preserve">3.2  </w:t>
      </w:r>
      <w:r>
        <w:rPr>
          <w:rFonts w:ascii="Arial" w:cs="Arial" w:eastAsia="Arial" w:hAnsi="Arial"/>
          <w:b/>
          <w:bCs/>
          <w:i w:val="false"/>
          <w:iCs w:val="false"/>
          <w:color w:val="1A6B5A"/>
          <w:sz w:val="19"/>
          <w:szCs w:val="19"/>
        </w:rPr>
        <w:t xml:space="preserve">Four Competency Mapping Constitutions — One per Subject Group</w:t>
      </w:r>
    </w:p>
    <w:p>
      <w:pPr>
        <w:spacing w:after="80" w:before="0"/>
        <w:jc w:val="left"/>
      </w:pPr>
      <w:r>
        <w:rPr>
          <w:rFonts w:ascii="Arial" w:cs="Arial" w:eastAsia="Arial" w:hAnsi="Arial"/>
          <w:b w:val="false"/>
          <w:bCs w:val="false"/>
          <w:i w:val="false"/>
          <w:iCs w:val="false"/>
          <w:color w:val="1F2937"/>
          <w:sz w:val="17"/>
          <w:szCs w:val="17"/>
        </w:rPr>
        <w:t xml:space="preserve">The Chapter Mapping Constitution exists in four independent variants — one per subject group — each stored separately and fetched by exact key. They are not variations of a common template. Each reflects the fundamentally different cognitive architecture of its subject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Subject Group</w:t>
            </w:r>
          </w:p>
        </w:tc>
        <w:tc>
          <w:tcPr>
            <w:tcW w:type="pct" w:w="78%"/>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Governing Principle</w:t>
            </w:r>
          </w:p>
        </w:tc>
      </w:tr>
      <w:tr>
        <w:tc>
          <w:tcPr>
            <w:tcW w:type="pct" w:w="22%"/>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Social Sciences</w:t>
            </w:r>
          </w:p>
        </w:tc>
        <w:tc>
          <w:tcPr>
            <w:tcW w:type="pct" w:w="78%"/>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Content-bound cognitive transformation. Primary inquiry: what cognitive act does the chapter's structural exercises REQUIRE the student to perform? Mapping proceeds by structural match, not surface vocabulary. Sub-discipline disambiguation rules apply (History, Geography, Political Science, Economics).</w:t>
            </w:r>
          </w:p>
        </w:tc>
      </w:tr>
      <w:tr>
        <w:tc>
          <w:tcPr>
            <w:tcW w:type="pct" w:w="22%"/>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Languages</w:t>
            </w:r>
          </w:p>
        </w:tc>
        <w:tc>
          <w:tcPr>
            <w:tcW w:type="pct" w:w="78%"/>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Process-bound language acts. Primary inquiry: what specific language act is the student required to perform? Mapping proceeds from task structure, not thematic content. Recursive competency development across chapters explicitly does not inflate or deflate weights.</w:t>
            </w:r>
          </w:p>
        </w:tc>
      </w:tr>
      <w:tr>
        <w:tc>
          <w:tcPr>
            <w:tcW w:type="pct" w:w="22%"/>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Mathematics</w:t>
            </w:r>
          </w:p>
        </w:tc>
        <w:tc>
          <w:tcPr>
            <w:tcW w:type="pct" w:w="78%"/>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Exercise progression architecture. Primary inquiry: what new cognitive mathematical operation does the graded exercise set explicitly build? Built targets distinguished from infrastructural tools by whether the chapter provides graded developmental progression for them.</w:t>
            </w:r>
          </w:p>
        </w:tc>
      </w:tr>
      <w:tr>
        <w:tc>
          <w:tcPr>
            <w:tcW w:type="pct" w:w="22%"/>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Science</w:t>
            </w:r>
          </w:p>
        </w:tc>
        <w:tc>
          <w:tcPr>
            <w:tcW w:type="pct" w:w="78%"/>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Three competency types: conceptual, procedural, investigative. Developmental layer (exercises, activities, lab tasks) is the sole evidence base. Descriptive context in explanatory text — however detailed — provides zero weight evidence.</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3.3  </w:t>
      </w:r>
      <w:r>
        <w:rPr>
          <w:rFonts w:ascii="Arial" w:cs="Arial" w:eastAsia="Arial" w:hAnsi="Arial"/>
          <w:b/>
          <w:bCs/>
          <w:i w:val="false"/>
          <w:iCs w:val="false"/>
          <w:color w:val="1A6B5A"/>
          <w:sz w:val="19"/>
          <w:szCs w:val="19"/>
        </w:rPr>
        <w:t xml:space="preserve">Why Constitutions Matter for Trustworthiness</w:t>
      </w:r>
    </w:p>
    <w:p>
      <w:pPr>
        <w:spacing w:after="80" w:before="0"/>
        <w:jc w:val="left"/>
      </w:pPr>
      <w:r>
        <w:rPr>
          <w:rFonts w:ascii="Arial" w:cs="Arial" w:eastAsia="Arial" w:hAnsi="Arial"/>
          <w:b w:val="false"/>
          <w:bCs w:val="false"/>
          <w:i w:val="false"/>
          <w:iCs w:val="false"/>
          <w:color w:val="1F2937"/>
          <w:sz w:val="17"/>
          <w:szCs w:val="17"/>
        </w:rPr>
        <w:t xml:space="preserve">Without constitutions, AI decision-making in a high-stakes educational context is opaque. A teacher or principal cannot verify why a competency was mapped at weight 3, why an activity was chosen, or why an assessment question targets a particular LO. The constitutions make every decision traceable:</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Every weight assignment can be verified against the constitution's pass/fail structural tests</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Every activity in a lesson plan must be anchored to a named chapter section — no generic pedagogical intent</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Every implied LO must be observable student behaviour derived from a specific activity — not a restatement of the competency</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Assessment time is entirely outside the lesson plan budget — governed by a separate constitution with its own rules</w:t>
      </w:r>
    </w:p>
    <w:p>
      <w:pPr>
        <w:pStyle w:val="ListParagraph"/>
        <w:numPr>
          <w:ilvl w:val="0"/>
          <w:numId w:val="1"/>
        </w:numPr>
        <w:spacing w:after="40" w:before="0"/>
        <w:ind w:left="360"/>
        <w:jc w:val="left"/>
      </w:pPr>
      <w:r>
        <w:rPr>
          <w:rFonts w:ascii="Arial" w:cs="Arial" w:eastAsia="Arial" w:hAnsi="Arial"/>
          <w:b w:val="false"/>
          <w:bCs w:val="false"/>
          <w:i w:val="false"/>
          <w:iCs w:val="false"/>
          <w:color w:val="1F2937"/>
          <w:sz w:val="17"/>
          <w:szCs w:val="17"/>
        </w:rPr>
        <w:t xml:space="preserve">Documents that are not inputs to a given stage are explicitly prohibited — not merely omitted</w:t>
      </w:r>
    </w:p>
    <w:p>
      <w:pPr>
        <w:spacing w:after="0" w:before="40"/>
      </w:pP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4  —  THE ANNUAL PLANNING ENGINE</w:t>
            </w:r>
          </w:p>
        </w:tc>
      </w:tr>
    </w:tbl>
    <w:p>
      <w:pPr>
        <w:spacing w:after="0" w:before="60"/>
      </w:pPr>
    </w:p>
    <w:p>
      <w:pPr>
        <w:spacing w:after="80" w:before="0"/>
        <w:jc w:val="left"/>
      </w:pPr>
      <w:r>
        <w:rPr>
          <w:rFonts w:ascii="Arial" w:cs="Arial" w:eastAsia="Arial" w:hAnsi="Arial"/>
          <w:b w:val="false"/>
          <w:bCs w:val="false"/>
          <w:i w:val="false"/>
          <w:iCs w:val="false"/>
          <w:color w:val="1F2937"/>
          <w:sz w:val="17"/>
          <w:szCs w:val="17"/>
        </w:rPr>
        <w:t xml:space="preserve">Every school currently plans the year in one of two broken ways: equal split (14 chapters, 140 periods, therefore 10 periods each — ignores competency weight entirely) or HoD intuition (manual estimates from experience — inconsistent, undefendable to NCF compliance audits). The Annual Planning Engine does what neither can: it starts from NCF competency targets and allocates periods to chapters in a way that reflects what each chapter genuinely develops.</w:t>
      </w:r>
    </w:p>
    <w:p>
      <w:pPr>
        <w:spacing w:after="60" w:before="180"/>
        <w:jc w:val="left"/>
      </w:pPr>
      <w:r>
        <w:rPr>
          <w:rFonts w:ascii="Arial" w:cs="Arial" w:eastAsia="Arial" w:hAnsi="Arial"/>
          <w:b/>
          <w:bCs/>
          <w:i w:val="false"/>
          <w:iCs w:val="false"/>
          <w:color w:val="1A6B5A"/>
          <w:sz w:val="19"/>
          <w:szCs w:val="19"/>
        </w:rPr>
        <w:t xml:space="preserve">4.1  </w:t>
      </w:r>
      <w:r>
        <w:rPr>
          <w:rFonts w:ascii="Arial" w:cs="Arial" w:eastAsia="Arial" w:hAnsi="Arial"/>
          <w:b/>
          <w:bCs/>
          <w:i w:val="false"/>
          <w:iCs w:val="false"/>
          <w:color w:val="1A6B5A"/>
          <w:sz w:val="19"/>
          <w:szCs w:val="19"/>
        </w:rPr>
        <w:t xml:space="preserve">How the Optimiser Works</w:t>
      </w:r>
    </w:p>
    <w:p>
      <w:pPr>
        <w:spacing w:after="80" w:before="0"/>
        <w:jc w:val="left"/>
      </w:pPr>
      <w:r>
        <w:rPr>
          <w:rFonts w:ascii="Arial" w:cs="Arial" w:eastAsia="Arial" w:hAnsi="Arial"/>
          <w:b w:val="false"/>
          <w:bCs w:val="false"/>
          <w:i w:val="false"/>
          <w:iCs w:val="false"/>
          <w:color w:val="1F2937"/>
          <w:sz w:val="17"/>
          <w:szCs w:val="17"/>
        </w:rPr>
        <w:t xml:space="preserve">The optimisation is a period allocation problem solved by standard linear programming (Python pulp). It requires no AI call — it runs entirely on pre-computed JSON data. The inputs are: total period budget (CBSE minimum by default, editable upward by the Principal, with a warning if entered below minimum); the chapter list with chapter_weight values from the JSON; and an optional minimum viable periods floor per chapter.</w:t>
      </w:r>
    </w:p>
    <w:p>
      <w:pPr>
        <w:spacing w:after="80" w:before="0"/>
        <w:jc w:val="left"/>
      </w:pPr>
      <w:r>
        <w:rPr>
          <w:rFonts w:ascii="Arial" w:cs="Arial" w:eastAsia="Arial" w:hAnsi="Arial"/>
          <w:b w:val="false"/>
          <w:bCs w:val="false"/>
          <w:i w:val="false"/>
          <w:iCs w:val="false"/>
          <w:color w:val="1F2937"/>
          <w:sz w:val="17"/>
          <w:szCs w:val="17"/>
        </w:rPr>
        <w:t xml:space="preserve">The optimiser allocates the period budget so that every chapter meets its minimum floor and remaining periods are distributed proportionate to each chapter's chapter_weight share. The mathematics is transparent and auditable — a Principal can verify every allocation by hand from the chapter_weight values alone.</w:t>
      </w:r>
    </w:p>
    <w:p>
      <w:pPr>
        <w:spacing w:after="60" w:before="180"/>
        <w:jc w:val="left"/>
      </w:pPr>
      <w:r>
        <w:rPr>
          <w:rFonts w:ascii="Arial" w:cs="Arial" w:eastAsia="Arial" w:hAnsi="Arial"/>
          <w:b/>
          <w:bCs/>
          <w:i w:val="false"/>
          <w:iCs w:val="false"/>
          <w:color w:val="1A6B5A"/>
          <w:sz w:val="19"/>
          <w:szCs w:val="19"/>
        </w:rPr>
        <w:t xml:space="preserve">4.2  </w:t>
      </w:r>
      <w:r>
        <w:rPr>
          <w:rFonts w:ascii="Arial" w:cs="Arial" w:eastAsia="Arial" w:hAnsi="Arial"/>
          <w:b/>
          <w:bCs/>
          <w:i w:val="false"/>
          <w:iCs w:val="false"/>
          <w:color w:val="1A6B5A"/>
          <w:sz w:val="19"/>
          <w:szCs w:val="19"/>
        </w:rPr>
        <w:t xml:space="preserve">Inception Plan and Replan — Same Operation</w:t>
      </w:r>
    </w:p>
    <w:tbl>
      <w:tblPr>
        <w:tblW w:type="pct" w:w="100%"/>
        <w:tblBorders>
          <w:top w:val="none"/>
          <w:left w:val="single" w:color="1A6B5A" w:sz="16"/>
          <w:bottom w:val="none"/>
          <w:right w:val="none"/>
          <w:insideH w:val="single" w:color="auto" w:sz="4"/>
          <w:insideV w:val="single" w:color="auto" w:sz="4"/>
        </w:tblBorders>
      </w:tblPr>
      <w:tblGrid>
        <w:gridCol w:w="100"/>
      </w:tblGrid>
      <w:tr>
        <w:tc>
          <w:tcPr>
            <w:shd w:fill="E8F4F1" w:color="E8F4F1" w:val="solid"/>
            <w:tcMar>
              <w:top w:type="dxa" w:w="100"/>
              <w:left w:type="dxa" w:w="160"/>
              <w:bottom w:type="dxa" w:w="100"/>
              <w:right w:type="dxa" w:w="160"/>
            </w:tcMar>
          </w:tcPr>
          <w:p>
            <w:pPr>
              <w:spacing w:after="50" w:before="0"/>
            </w:pPr>
            <w:r>
              <w:rPr>
                <w:rFonts w:ascii="Arial" w:cs="Arial" w:eastAsia="Arial" w:hAnsi="Arial"/>
                <w:b/>
                <w:bCs/>
                <w:i w:val="false"/>
                <w:iCs w:val="false"/>
                <w:color w:val="1A6B5A"/>
                <w:sz w:val="17"/>
                <w:szCs w:val="17"/>
              </w:rPr>
              <w:t xml:space="preserve">The Elegance of Statelessness</w:t>
            </w:r>
          </w:p>
          <w:p>
            <w:pPr>
              <w:spacing w:after="40" w:before="0"/>
            </w:pPr>
            <w:r>
              <w:rPr>
                <w:rFonts w:ascii="Arial" w:cs="Arial" w:eastAsia="Arial" w:hAnsi="Arial"/>
                <w:b w:val="false"/>
                <w:bCs w:val="false"/>
                <w:i w:val="false"/>
                <w:iCs w:val="false"/>
                <w:color w:val="1F2937"/>
                <w:sz w:val="16"/>
                <w:szCs w:val="16"/>
              </w:rPr>
              <w:t xml:space="preserve">At the start of the year: all chapters are ticked. Principal enters total period budget. System runs optimiser. Output: period allocation per chapter.</w:t>
            </w:r>
          </w:p>
          <w:p>
            <w:pPr>
              <w:spacing w:after="40" w:before="0"/>
            </w:pPr>
            <w:r>
              <w:rPr>
                <w:rFonts w:ascii="Arial" w:cs="Arial" w:eastAsia="Arial" w:hAnsi="Arial"/>
                <w:b w:val="false"/>
                <w:bCs w:val="false"/>
                <w:i w:val="false"/>
                <w:iCs w:val="false"/>
                <w:color w:val="1F2937"/>
                <w:sz w:val="16"/>
                <w:szCs w:val="16"/>
              </w:rPr>
              <w:t xml:space="preserve">In October: same interface, same optimiser. Principal unticks completed chapters. Enters remaining period budget. System runs optimiser against remaining chapters only.</w:t>
            </w:r>
          </w:p>
          <w:p>
            <w:pPr>
              <w:spacing w:after="40" w:before="0"/>
            </w:pPr>
            <w:r>
              <w:rPr>
                <w:rFonts w:ascii="Arial" w:cs="Arial" w:eastAsia="Arial" w:hAnsi="Arial"/>
                <w:b w:val="false"/>
                <w:bCs w:val="false"/>
                <w:i w:val="false"/>
                <w:iCs w:val="false"/>
                <w:color w:val="1F2937"/>
                <w:sz w:val="16"/>
                <w:szCs w:val="16"/>
              </w:rPr>
              <w:t xml:space="preserve">The system does not know or care which scenario it is. No ledger. No state. No tracking. One function, two use cases.</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4.3  </w:t>
      </w:r>
      <w:r>
        <w:rPr>
          <w:rFonts w:ascii="Arial" w:cs="Arial" w:eastAsia="Arial" w:hAnsi="Arial"/>
          <w:b/>
          <w:bCs/>
          <w:i w:val="false"/>
          <w:iCs w:val="false"/>
          <w:color w:val="1A6B5A"/>
          <w:sz w:val="19"/>
          <w:szCs w:val="19"/>
        </w:rPr>
        <w:t xml:space="preserve">Explainability and Competency Coverage Alerts</w:t>
      </w:r>
    </w:p>
    <w:p>
      <w:pPr>
        <w:spacing w:after="80" w:before="0"/>
        <w:jc w:val="left"/>
      </w:pPr>
      <w:r>
        <w:rPr>
          <w:rFonts w:ascii="Arial" w:cs="Arial" w:eastAsia="Arial" w:hAnsi="Arial"/>
          <w:b w:val="false"/>
          <w:bCs w:val="false"/>
          <w:i w:val="false"/>
          <w:iCs w:val="false"/>
          <w:color w:val="1F2937"/>
          <w:sz w:val="17"/>
          <w:szCs w:val="17"/>
        </w:rPr>
        <w:t xml:space="preserve">The annual plan output is not a black box. Every chapter's period allocation is shown alongside its competency weight, the specific CG and C-codes it develops, and a plain-language explanation of why it received its allocation. A competency coverage table is produced after the optimiser runs — an honest reading of what the full chapter set achieves across all NCF competencies. Any underrepresented CG is flagged as an alert — not a block, but a prompt for the Principal to review. This is the conversation no school is currently having systematically.</w:t>
      </w: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5  —  LESSON PLAN &amp; ASSESSMENT GENERATOR</w:t>
            </w:r>
          </w:p>
        </w:tc>
      </w:tr>
    </w:tbl>
    <w:p>
      <w:pPr>
        <w:spacing w:after="0" w:before="60"/>
      </w:pPr>
    </w:p>
    <w:p>
      <w:pPr>
        <w:spacing w:after="60" w:before="180"/>
        <w:jc w:val="left"/>
      </w:pPr>
      <w:r>
        <w:rPr>
          <w:rFonts w:ascii="Arial" w:cs="Arial" w:eastAsia="Arial" w:hAnsi="Arial"/>
          <w:b/>
          <w:bCs/>
          <w:i w:val="false"/>
          <w:iCs w:val="false"/>
          <w:color w:val="1A6B5A"/>
          <w:sz w:val="19"/>
          <w:szCs w:val="19"/>
        </w:rPr>
        <w:t xml:space="preserve">5.1  </w:t>
      </w:r>
      <w:r>
        <w:rPr>
          <w:rFonts w:ascii="Arial" w:cs="Arial" w:eastAsia="Arial" w:hAnsi="Arial"/>
          <w:b/>
          <w:bCs/>
          <w:i w:val="false"/>
          <w:iCs w:val="false"/>
          <w:color w:val="1A6B5A"/>
          <w:sz w:val="19"/>
          <w:szCs w:val="19"/>
        </w:rPr>
        <w:t xml:space="preserve">The Chapter as the Atomic Unit</w:t>
      </w:r>
    </w:p>
    <w:p>
      <w:pPr>
        <w:spacing w:after="80" w:before="0"/>
        <w:jc w:val="left"/>
      </w:pPr>
      <w:r>
        <w:rPr>
          <w:rFonts w:ascii="Arial" w:cs="Arial" w:eastAsia="Arial" w:hAnsi="Arial"/>
          <w:b w:val="false"/>
          <w:bCs w:val="false"/>
          <w:i w:val="false"/>
          <w:iCs w:val="false"/>
          <w:color w:val="1F2937"/>
          <w:sz w:val="17"/>
          <w:szCs w:val="17"/>
        </w:rPr>
        <w:t xml:space="preserve">A chapter is the minimum unit of lesson plan generation. A teacher selects a chapter, enters the number of periods she has available, and specifies how long each period is. The system generates a complete chapter plan scaled to those constraints. This eliminates ambiguity about where a lesson starts and ends and ensures competency citations always correspond to the pre-validated chapter-level mapping.</w:t>
      </w:r>
    </w:p>
    <w:p>
      <w:pPr>
        <w:spacing w:after="80" w:before="0"/>
        <w:jc w:val="left"/>
      </w:pPr>
      <w:r>
        <w:rPr>
          <w:rFonts w:ascii="Arial" w:cs="Arial" w:eastAsia="Arial" w:hAnsi="Arial"/>
          <w:b w:val="false"/>
          <w:bCs w:val="false"/>
          <w:i w:val="false"/>
          <w:iCs w:val="false"/>
          <w:color w:val="1F2937"/>
          <w:sz w:val="17"/>
          <w:szCs w:val="17"/>
        </w:rPr>
        <w:t xml:space="preserve">Where a school subscription exists and an annual plan has been generated, the period count pre-fills from that plan. For a standalone or freemium teacher, the period count pre-fills from the CBSE minimum for that subject and grade. In both cases the teacher may adjust freely. The lesson plan artefact is identical — only the pre-fill differs.</w:t>
      </w:r>
    </w:p>
    <w:p>
      <w:pPr>
        <w:spacing w:after="60" w:before="180"/>
        <w:jc w:val="left"/>
      </w:pPr>
      <w:r>
        <w:rPr>
          <w:rFonts w:ascii="Arial" w:cs="Arial" w:eastAsia="Arial" w:hAnsi="Arial"/>
          <w:b/>
          <w:bCs/>
          <w:i w:val="false"/>
          <w:iCs w:val="false"/>
          <w:color w:val="1A6B5A"/>
          <w:sz w:val="19"/>
          <w:szCs w:val="19"/>
        </w:rPr>
        <w:t xml:space="preserve">5.2  </w:t>
      </w:r>
      <w:r>
        <w:rPr>
          <w:rFonts w:ascii="Arial" w:cs="Arial" w:eastAsia="Arial" w:hAnsi="Arial"/>
          <w:b/>
          <w:bCs/>
          <w:i w:val="false"/>
          <w:iCs w:val="false"/>
          <w:color w:val="1A6B5A"/>
          <w:sz w:val="19"/>
          <w:szCs w:val="19"/>
        </w:rPr>
        <w:t xml:space="preserve">Time as a Hard Constraint — What the Constitutions Clarified</w:t>
      </w:r>
    </w:p>
    <w:p>
      <w:pPr>
        <w:spacing w:after="80" w:before="0"/>
        <w:jc w:val="left"/>
      </w:pPr>
      <w:r>
        <w:rPr>
          <w:rFonts w:ascii="Arial" w:cs="Arial" w:eastAsia="Arial" w:hAnsi="Arial"/>
          <w:b w:val="false"/>
          <w:bCs w:val="false"/>
          <w:i w:val="false"/>
          <w:iCs w:val="false"/>
          <w:color w:val="1F2937"/>
          <w:sz w:val="17"/>
          <w:szCs w:val="17"/>
        </w:rPr>
        <w:t xml:space="preserve">The Lesson Plan Constitution introduced a critical clarification absent from the initial design: the teacher's entered period count is entirely available for teaching. There is no assessment time inside the lesson plan budget. This is not a product decision — it is a constitutional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Principle</w:t>
            </w:r>
          </w:p>
        </w:tc>
        <w:tc>
          <w:tcPr>
            <w:tcW w:type="pct" w:w="6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How It Works</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Period count × duration = teaching budget</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Every minute of the lesson plan is allocated to instructional activities anchored to named chapter sections. No portion is reserved for assessment.</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Assessment time is a separate budget</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The Assessment Constitution governs when and how assessment happens. It receives the structured LO Handoff from the lesson plan and makes all time decisions independently.</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The LO Handoff is a required output</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Every lesson plan generation automatically produces a structured LO Handoff: a list of all implied LOs, each paired with its C-code, weight, and the chapter section from which the activity was drawn.</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Teacher receives both documents</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The lesson plan and the assessment plan are companion documents. When and how the teacher uses the assessment is her professional decision. Aruvi's responsibility is to ensure it exists and is anchored to the chapter's actual implied LOs.</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5.3  </w:t>
      </w:r>
      <w:r>
        <w:rPr>
          <w:rFonts w:ascii="Arial" w:cs="Arial" w:eastAsia="Arial" w:hAnsi="Arial"/>
          <w:b/>
          <w:bCs/>
          <w:i w:val="false"/>
          <w:iCs w:val="false"/>
          <w:color w:val="1A6B5A"/>
          <w:sz w:val="19"/>
          <w:szCs w:val="19"/>
        </w:rPr>
        <w:t xml:space="preserve">Lesson Plan Output Structure</w:t>
      </w:r>
    </w:p>
    <w:p>
      <w:pPr>
        <w:spacing w:after="80" w:before="0"/>
        <w:jc w:val="left"/>
      </w:pPr>
      <w:r>
        <w:rPr>
          <w:rFonts w:ascii="Arial" w:cs="Arial" w:eastAsia="Arial" w:hAnsi="Arial"/>
          <w:b w:val="false"/>
          <w:bCs w:val="false"/>
          <w:i w:val="false"/>
          <w:iCs w:val="false"/>
          <w:color w:val="1F2937"/>
          <w:sz w:val="17"/>
          <w:szCs w:val="17"/>
        </w:rPr>
        <w:t xml:space="preserve">Chapter name, grade, subject, and NCF stage stated at the top. Primary competencies from the pre-computed mapping — CG codes and C-codes — stated upfront. Period-by-period breakdown: named activities with time in minutes, teacher action, student action, the C-code being developed, the chapter section being drawn from, and one implied observable LO per activity. Competency gap note produced automatically if the period count is too compressed for full primary competency coverage.</w:t>
      </w:r>
    </w:p>
    <w:p>
      <w:pPr>
        <w:spacing w:after="80" w:before="0"/>
        <w:jc w:val="left"/>
      </w:pPr>
      <w:r>
        <w:rPr>
          <w:rFonts w:ascii="Arial" w:cs="Arial" w:eastAsia="Arial" w:hAnsi="Arial"/>
          <w:b w:val="false"/>
          <w:bCs w:val="false"/>
          <w:i w:val="false"/>
          <w:iCs w:val="false"/>
          <w:color w:val="1F2937"/>
          <w:sz w:val="17"/>
          <w:szCs w:val="17"/>
        </w:rPr>
        <w:t xml:space="preserve">Export to Word and PDF is available to all users including the freemium tier. What the freemium tier limits is the number of generations per month, not the ability to use what has been generated.</w:t>
      </w: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6  —  TECHNOLOGY STACK</w:t>
            </w:r>
          </w:p>
        </w:tc>
      </w:tr>
    </w:tbl>
    <w:p>
      <w:pPr>
        <w:spacing w:after="0" w:before="60"/>
      </w:pPr>
    </w:p>
    <w:tbl>
      <w:tblPr>
        <w:tblW w:type="pct" w:w="100%"/>
        <w:tblBorders>
          <w:top w:val="none"/>
          <w:left w:val="single" w:color="1A6B5A" w:sz="16"/>
          <w:bottom w:val="none"/>
          <w:right w:val="none"/>
          <w:insideH w:val="single" w:color="auto" w:sz="4"/>
          <w:insideV w:val="single" w:color="auto" w:sz="4"/>
        </w:tblBorders>
      </w:tblPr>
      <w:tblGrid>
        <w:gridCol w:w="100"/>
      </w:tblGrid>
      <w:tr>
        <w:tc>
          <w:tcPr>
            <w:shd w:fill="E8F4F1" w:color="E8F4F1" w:val="solid"/>
            <w:tcMar>
              <w:top w:type="dxa" w:w="100"/>
              <w:left w:type="dxa" w:w="160"/>
              <w:bottom w:type="dxa" w:w="100"/>
              <w:right w:type="dxa" w:w="160"/>
            </w:tcMar>
          </w:tcPr>
          <w:p>
            <w:pPr>
              <w:spacing w:after="50" w:before="0"/>
            </w:pPr>
            <w:r>
              <w:rPr>
                <w:rFonts w:ascii="Arial" w:cs="Arial" w:eastAsia="Arial" w:hAnsi="Arial"/>
                <w:b/>
                <w:bCs/>
                <w:i w:val="false"/>
                <w:iCs w:val="false"/>
                <w:color w:val="1A6B5A"/>
                <w:sz w:val="17"/>
                <w:szCs w:val="17"/>
              </w:rPr>
              <w:t xml:space="preserve">Guiding Principle</w:t>
            </w:r>
          </w:p>
          <w:p>
            <w:pPr>
              <w:spacing w:after="40" w:before="0"/>
            </w:pPr>
            <w:r>
              <w:rPr>
                <w:rFonts w:ascii="Arial" w:cs="Arial" w:eastAsia="Arial" w:hAnsi="Arial"/>
                <w:b w:val="false"/>
                <w:bCs w:val="false"/>
                <w:i w:val="false"/>
                <w:iCs w:val="false"/>
                <w:color w:val="1F2937"/>
                <w:sz w:val="16"/>
                <w:szCs w:val="16"/>
              </w:rPr>
              <w:t xml:space="preserve">The prototype has one job: prove the concept. Prove that the competency mapping is accurate, the optimiser allocation is defensible, the lesson plan output is good enough that a teacher would use it, and the token cost per generation is what the model predicts. Streamlit keeps the entire system in a small set of readable Python files. When the concept is proven, the Python backend moves directly into production without rewriting. Only the UI layer changes.</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6.1  </w:t>
      </w:r>
      <w:r>
        <w:rPr>
          <w:rFonts w:ascii="Arial" w:cs="Arial" w:eastAsia="Arial" w:hAnsi="Arial"/>
          <w:b/>
          <w:bCs/>
          <w:i w:val="false"/>
          <w:iCs w:val="false"/>
          <w:color w:val="1A6B5A"/>
          <w:sz w:val="19"/>
          <w:szCs w:val="19"/>
        </w:rPr>
        <w:t xml:space="preserve">Prototype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Component</w:t>
            </w:r>
          </w:p>
        </w:tc>
        <w:tc>
          <w:tcPr>
            <w:tcW w:type="pct" w:w="7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Tool &amp; Rationale</w:t>
            </w:r>
          </w:p>
        </w:tc>
      </w:tr>
      <w:tr>
        <w:tc>
          <w:tcPr>
            <w:tcW w:type="pct" w:w="2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Language</w:t>
            </w:r>
          </w:p>
        </w:tc>
        <w:tc>
          <w:tcPr>
            <w:tcW w:type="pct" w:w="7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Python 3.11+</w:t>
            </w:r>
          </w:p>
        </w:tc>
      </w:tr>
      <w:tr>
        <w:tc>
          <w:tcPr>
            <w:tcW w:type="pct" w:w="2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UI</w:t>
            </w:r>
          </w:p>
        </w:tc>
        <w:tc>
          <w:tcPr>
            <w:tcW w:type="pct" w:w="7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Streamlit — single Python file, runs locally or on Streamlit Cloud. Role simulation via selectbox (Teacher / Principal).</w:t>
            </w:r>
          </w:p>
        </w:tc>
      </w:tr>
      <w:tr>
        <w:tc>
          <w:tcPr>
            <w:tcW w:type="pct" w:w="2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Vector Database</w:t>
            </w:r>
          </w:p>
        </w:tc>
        <w:tc>
          <w:tcPr>
            <w:tcW w:type="pct" w:w="7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ChromaDB (PersistentClient) — runs locally in Python, zero infrastructure, zero cost.</w:t>
            </w:r>
          </w:p>
        </w:tc>
      </w:tr>
      <w:tr>
        <w:tc>
          <w:tcPr>
            <w:tcW w:type="pct" w:w="2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Structured Data</w:t>
            </w:r>
          </w:p>
        </w:tc>
        <w:tc>
          <w:tcPr>
            <w:tcW w:type="pct" w:w="7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JSON files on disk — chapter_mappings per subject and grade. Loaded into memory at app start with @st.cache_resource.</w:t>
            </w:r>
          </w:p>
        </w:tc>
      </w:tr>
      <w:tr>
        <w:tc>
          <w:tcPr>
            <w:tcW w:type="pct" w:w="2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Annual Plan Optimiser</w:t>
            </w:r>
          </w:p>
        </w:tc>
        <w:tc>
          <w:tcPr>
            <w:tcW w:type="pct" w:w="7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Python pulp — linear programming, no AI call, runs in milliseconds, fully auditable.</w:t>
            </w:r>
          </w:p>
        </w:tc>
      </w:tr>
      <w:tr>
        <w:tc>
          <w:tcPr>
            <w:tcW w:type="pct" w:w="2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AI Generation</w:t>
            </w:r>
          </w:p>
        </w:tc>
        <w:tc>
          <w:tcPr>
            <w:tcW w:type="pct" w:w="7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Claude API (claude-sonnet-4-6) via anthropic Python SDK — the only component that consumes tokens. Two calls per teacher request: lesson plan + assessment plan.</w:t>
            </w:r>
          </w:p>
        </w:tc>
      </w:tr>
      <w:tr>
        <w:tc>
          <w:tcPr>
            <w:tcW w:type="pct" w:w="2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PDF Extraction</w:t>
            </w:r>
          </w:p>
        </w:tc>
        <w:tc>
          <w:tcPr>
            <w:tcW w:type="pct" w:w="7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pdfplumber — confirmed on text-native NCF and NCERT documents.</w:t>
            </w:r>
          </w:p>
        </w:tc>
      </w:tr>
      <w:tr>
        <w:tc>
          <w:tcPr>
            <w:tcW w:type="pct" w:w="2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Embeddings</w:t>
            </w:r>
          </w:p>
        </w:tc>
        <w:tc>
          <w:tcPr>
            <w:tcW w:type="pct" w:w="7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sentence-transformers (all-MiniLM-L6-v2) — free, runs locally, no API call.</w:t>
            </w:r>
          </w:p>
        </w:tc>
      </w:tr>
      <w:tr>
        <w:tc>
          <w:tcPr>
            <w:tcW w:type="pct" w:w="2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Export</w:t>
            </w:r>
          </w:p>
        </w:tc>
        <w:tc>
          <w:tcPr>
            <w:tcW w:type="pct" w:w="7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python-docx for Word download. Available to all users including freemium.</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6.2  </w:t>
      </w:r>
      <w:r>
        <w:rPr>
          <w:rFonts w:ascii="Arial" w:cs="Arial" w:eastAsia="Arial" w:hAnsi="Arial"/>
          <w:b/>
          <w:bCs/>
          <w:i w:val="false"/>
          <w:iCs w:val="false"/>
          <w:color w:val="1A6B5A"/>
          <w:sz w:val="19"/>
          <w:szCs w:val="19"/>
        </w:rPr>
        <w:t xml:space="preserve">The Tools — Build-Time and Runtime</w:t>
      </w:r>
    </w:p>
    <w:p>
      <w:pPr>
        <w:spacing w:after="80" w:before="0"/>
        <w:jc w:val="left"/>
      </w:pPr>
      <w:r>
        <w:rPr>
          <w:rFonts w:ascii="Arial" w:cs="Arial" w:eastAsia="Arial" w:hAnsi="Arial"/>
          <w:b w:val="false"/>
          <w:bCs w:val="false"/>
          <w:i w:val="false"/>
          <w:iCs w:val="false"/>
          <w:color w:val="1F2937"/>
          <w:sz w:val="17"/>
          <w:szCs w:val="17"/>
        </w:rPr>
        <w:t xml:space="preserve">In Aruvi's architecture, a tool is a discrete Python function with a clearly defined input, process, and output. These are distinct from Claude's built-in tool use capability — Aruvi's tools are plain Python functions called by the application orchestrator, not by the model. Claude receives the assembled output of those tools as context in its generation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Tool</w:t>
            </w:r>
          </w:p>
        </w:tc>
        <w:tc>
          <w:tcPr>
            <w:tcW w:type="pct" w:w="5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What It Does</w:t>
            </w:r>
          </w:p>
        </w:tc>
        <w:tc>
          <w:tcPr>
            <w:tcW w:type="pct" w:w="2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When / Cost</w:t>
            </w:r>
          </w:p>
        </w:tc>
      </w:tr>
      <w:tr>
        <w:tc>
          <w:tcPr>
            <w:tcW w:type="pct" w:w="26%"/>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build_chapter_mapping()</w:t>
            </w:r>
          </w:p>
        </w:tc>
        <w:tc>
          <w:tcPr>
            <w:tcW w:type="pct" w:w="5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 once per subject/grade. Feeds each chapter through Claude with the full textbook chapter + Curricular Goals document — governed by the Competency Mapping Constitution for that subject group. Produces: primary competencies with weights and justifications, incidental competencies, structured chapter summary.</w:t>
            </w:r>
          </w:p>
        </w:tc>
        <w:tc>
          <w:tcPr>
            <w:tcW w:type="pct" w:w="2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One-time</w:t>
            </w:r>
          </w:p>
        </w:tc>
      </w:tr>
      <w:tr>
        <w:tc>
          <w:tcPr>
            <w:tcW w:type="pct" w:w="26%"/>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ingest_framework_documents()</w:t>
            </w:r>
          </w:p>
        </w:tc>
        <w:tc>
          <w:tcPr>
            <w:tcW w:type="pct" w:w="5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 once per stage/subject. Extracts, chunks, embeds, and loads all NCF framework documents into ChromaDB with metadata tags.</w:t>
            </w:r>
          </w:p>
        </w:tc>
        <w:tc>
          <w:tcPr>
            <w:tcW w:type="pct" w:w="2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One-time</w:t>
            </w:r>
          </w:p>
        </w:tc>
      </w:tr>
      <w:tr>
        <w:tc>
          <w:tcPr>
            <w:tcW w:type="pct" w:w="26%"/>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validate_stores()</w:t>
            </w:r>
          </w:p>
        </w:tc>
        <w:tc>
          <w:tcPr>
            <w:tcW w:type="pct" w:w="5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Automated checks: all chapters in JSON, all chapter_weight &gt; 0, no CG code absent from reference, ChromaDB returns relevant results for 5 test queries. Must pass before prototype goes live.</w:t>
            </w:r>
          </w:p>
        </w:tc>
        <w:tc>
          <w:tcPr>
            <w:tcW w:type="pct" w:w="2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One-time</w:t>
            </w:r>
          </w:p>
        </w:tc>
      </w:tr>
      <w:tr>
        <w:tc>
          <w:tcPr>
            <w:tcW w:type="pct" w:w="26%"/>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fetch_framework_context()</w:t>
            </w:r>
          </w:p>
        </w:tc>
        <w:tc>
          <w:tcPr>
            <w:tcW w:type="pct" w:w="5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Queries ChromaDB with stage + subject filter. Retrieves NCF Pedagogy chunks (for Lesson Plan Constitution Rule 6) and Curricular Goals chunks (for C-code definitions). Returns top 4–5 chunks (~1,600–1,800 tokens). Used by both lesson plan and assessment generation calls.</w:t>
            </w:r>
          </w:p>
        </w:tc>
        <w:tc>
          <w:tcPr>
            <w:tcW w:type="pct" w:w="2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Runtime · Zero tokens</w:t>
            </w:r>
          </w:p>
        </w:tc>
      </w:tr>
      <w:tr>
        <w:tc>
          <w:tcPr>
            <w:tcW w:type="pct" w:w="26%"/>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fetch_chapter_mapping()</w:t>
            </w:r>
          </w:p>
        </w:tc>
        <w:tc>
          <w:tcPr>
            <w:tcW w:type="pct" w:w="5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Key lookup in JSON store. Returns full chapter record: structured summary, primary competencies with weights and justifications, incidental competencies, chapter_weight (~700–1,000 tokens). Used by lesson plan generation and passed as input to assessment generation.</w:t>
            </w:r>
          </w:p>
        </w:tc>
        <w:tc>
          <w:tcPr>
            <w:tcW w:type="pct" w:w="2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Runtime · Zero tokens</w:t>
            </w:r>
          </w:p>
        </w:tc>
      </w:tr>
      <w:tr>
        <w:tc>
          <w:tcPr>
            <w:tcW w:type="pct" w:w="26%"/>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generate_lesson_plan()</w:t>
            </w:r>
          </w:p>
        </w:tc>
        <w:tc>
          <w:tcPr>
            <w:tcW w:type="pct" w:w="5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Assembles full prompt from the three context components + teacher inputs + Lesson Plan Constitution. Calls Claude API. Returns lesson plan text + structured LO Handoff.</w:t>
            </w:r>
          </w:p>
        </w:tc>
        <w:tc>
          <w:tcPr>
            <w:tcW w:type="pct" w:w="2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Runtime · ~₹1.50–1.75</w:t>
            </w:r>
          </w:p>
        </w:tc>
      </w:tr>
      <w:tr>
        <w:tc>
          <w:tcPr>
            <w:tcW w:type="pct" w:w="26%"/>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generate_assessment_plan()</w:t>
            </w:r>
          </w:p>
        </w:tc>
        <w:tc>
          <w:tcPr>
            <w:tcW w:type="pct" w:w="5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Assembles prompt from LO Handoff + Assessment Framework chunks + Assessment Constitution. Second Claude API call. Returns assessment plan.</w:t>
            </w:r>
          </w:p>
        </w:tc>
        <w:tc>
          <w:tcPr>
            <w:tcW w:type="pct" w:w="2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Runtime · ~₹0.80–1.20</w:t>
            </w:r>
          </w:p>
        </w:tc>
      </w:tr>
      <w:tr>
        <w:tc>
          <w:tcPr>
            <w:tcW w:type="pct" w:w="26%"/>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run_optimiser()</w:t>
            </w:r>
          </w:p>
        </w:tc>
        <w:tc>
          <w:tcPr>
            <w:tcW w:type="pct" w:w="5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Loads chapter_weight values for selected chapters. Runs pulp LP. Generates per-chapter explanation and competency coverage table.</w:t>
            </w:r>
          </w:p>
        </w:tc>
        <w:tc>
          <w:tcPr>
            <w:tcW w:type="pct" w:w="2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Runtime · Zero tokens</w:t>
            </w:r>
          </w:p>
        </w:tc>
      </w:tr>
    </w:tbl>
    <w:p>
      <w:pPr>
        <w:spacing w:after="0" w:before="80"/>
      </w:pP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7  —  TOKEN ECONOMICS</w:t>
            </w:r>
          </w:p>
        </w:tc>
      </w:tr>
    </w:tbl>
    <w:p>
      <w:pPr>
        <w:spacing w:after="0" w:before="60"/>
      </w:pPr>
    </w:p>
    <w:tbl>
      <w:tblPr>
        <w:tblW w:type="pct" w:w="100%"/>
        <w:tblBorders>
          <w:top w:val="none"/>
          <w:left w:val="single" w:color="444444" w:sz="16"/>
          <w:bottom w:val="none"/>
          <w:right w:val="none"/>
          <w:insideH w:val="single" w:color="auto" w:sz="4"/>
          <w:insideV w:val="single" w:color="auto" w:sz="4"/>
        </w:tblBorders>
      </w:tblPr>
      <w:tblGrid>
        <w:gridCol w:w="100"/>
      </w:tblGrid>
      <w:tr>
        <w:tc>
          <w:tcPr>
            <w:shd w:fill="F5F5F5" w:color="F5F5F5" w:val="solid"/>
            <w:tcMar>
              <w:top w:type="dxa" w:w="100"/>
              <w:left w:type="dxa" w:w="160"/>
              <w:bottom w:type="dxa" w:w="100"/>
              <w:right w:type="dxa" w:w="160"/>
            </w:tcMar>
          </w:tcPr>
          <w:p>
            <w:pPr>
              <w:spacing w:after="50" w:before="0"/>
            </w:pPr>
            <w:r>
              <w:rPr>
                <w:rFonts w:ascii="Arial" w:cs="Arial" w:eastAsia="Arial" w:hAnsi="Arial"/>
                <w:b/>
                <w:bCs/>
                <w:i w:val="false"/>
                <w:iCs w:val="false"/>
                <w:color w:val="444444"/>
                <w:sz w:val="17"/>
                <w:szCs w:val="17"/>
              </w:rPr>
              <w:t xml:space="preserve">On Token Cost Measurement</w:t>
            </w:r>
          </w:p>
          <w:p>
            <w:pPr>
              <w:spacing w:after="40" w:before="0"/>
            </w:pPr>
            <w:r>
              <w:rPr>
                <w:rFonts w:ascii="Arial" w:cs="Arial" w:eastAsia="Arial" w:hAnsi="Arial"/>
                <w:b w:val="false"/>
                <w:bCs w:val="false"/>
                <w:i w:val="false"/>
                <w:iCs w:val="false"/>
                <w:color w:val="1F2937"/>
                <w:sz w:val="16"/>
                <w:szCs w:val="16"/>
              </w:rPr>
              <w:t xml:space="preserve">The figures below are estimates derived from the known context composition of each tool call. The prototype's purpose is to validate these estimates against actual usage. Every generation call during the prototype will be logged with actual input token count, output token count, and total cost in INR. Where actual figures diverge from estimates, the model will be updated. Token cost is a product decision as well as a financial one — every addition to the generation context is a quality choice whose cost must be known before it is made.</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7.1  </w:t>
      </w:r>
      <w:r>
        <w:rPr>
          <w:rFonts w:ascii="Arial" w:cs="Arial" w:eastAsia="Arial" w:hAnsi="Arial"/>
          <w:b/>
          <w:bCs/>
          <w:i w:val="false"/>
          <w:iCs w:val="false"/>
          <w:color w:val="1A6B5A"/>
          <w:sz w:val="19"/>
          <w:szCs w:val="19"/>
        </w:rPr>
        <w:t xml:space="preserve">What Costs Tokens and What Does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Operation</w:t>
            </w:r>
          </w:p>
        </w:tc>
        <w:tc>
          <w:tcPr>
            <w:tcW w:type="pct" w:w="5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Token Cost</w:t>
            </w:r>
          </w:p>
        </w:tc>
      </w:tr>
      <w:tr>
        <w:tc>
          <w:tcPr>
            <w:tcW w:type="pct" w:w="4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Annual plan optimisation</w:t>
            </w:r>
          </w:p>
        </w:tc>
        <w:tc>
          <w:tcPr>
            <w:tcW w:type="pct" w:w="5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Zero — pure Python LP, no API call</w:t>
            </w:r>
          </w:p>
        </w:tc>
      </w:tr>
      <w:tr>
        <w:tc>
          <w:tcPr>
            <w:tcW w:type="pct" w:w="4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Vector store retrieval</w:t>
            </w:r>
          </w:p>
        </w:tc>
        <w:tc>
          <w:tcPr>
            <w:tcW w:type="pct" w:w="5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Zero — ChromaDB semantic query, no API call</w:t>
            </w:r>
          </w:p>
        </w:tc>
      </w:tr>
      <w:tr>
        <w:tc>
          <w:tcPr>
            <w:tcW w:type="pct" w:w="4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Chapter mapping lookup</w:t>
            </w:r>
          </w:p>
        </w:tc>
        <w:tc>
          <w:tcPr>
            <w:tcW w:type="pct" w:w="5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Zero — JSON key lookup, no API call</w:t>
            </w:r>
          </w:p>
        </w:tc>
      </w:tr>
      <w:tr>
        <w:tc>
          <w:tcPr>
            <w:tcW w:type="pct" w:w="4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Competency coverage table</w:t>
            </w:r>
          </w:p>
        </w:tc>
        <w:tc>
          <w:tcPr>
            <w:tcW w:type="pct" w:w="5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Zero — computed from JSON, no API call</w:t>
            </w:r>
          </w:p>
        </w:tc>
      </w:tr>
      <w:tr>
        <w:tc>
          <w:tcPr>
            <w:tcW w:type="pct" w:w="4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Build: chapter mapping (once)</w:t>
            </w:r>
          </w:p>
        </w:tc>
        <w:tc>
          <w:tcPr>
            <w:tcW w:type="pct" w:w="5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~₹4–5 per chapter (~800–1,200 tokens per chapter — setup cost, not operating cost)</w:t>
            </w:r>
          </w:p>
        </w:tc>
      </w:tr>
      <w:tr>
        <w:tc>
          <w:tcPr>
            <w:tcW w:type="pct" w:w="4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Runtime: lesson plan generation</w:t>
            </w:r>
          </w:p>
        </w:tc>
        <w:tc>
          <w:tcPr>
            <w:tcW w:type="pct" w:w="5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~₹1.25–1.55 per call — first of two recurring token costs</w:t>
            </w:r>
          </w:p>
        </w:tc>
      </w:tr>
      <w:tr>
        <w:tc>
          <w:tcPr>
            <w:tcW w:type="pct" w:w="4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Runtime: assessment generation</w:t>
            </w:r>
          </w:p>
        </w:tc>
        <w:tc>
          <w:tcPr>
            <w:tcW w:type="pct" w:w="5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~₹0.80–1.20 per call — second recurring token cost, triggered by every lesson plan</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7.2  </w:t>
      </w:r>
      <w:r>
        <w:rPr>
          <w:rFonts w:ascii="Arial" w:cs="Arial" w:eastAsia="Arial" w:hAnsi="Arial"/>
          <w:b/>
          <w:bCs/>
          <w:i w:val="false"/>
          <w:iCs w:val="false"/>
          <w:color w:val="1A6B5A"/>
          <w:sz w:val="19"/>
          <w:szCs w:val="19"/>
        </w:rPr>
        <w:t xml:space="preserve">Token Composition — Lesson Plan Generation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Context Component</w:t>
            </w:r>
          </w:p>
        </w:tc>
        <w:tc>
          <w:tcPr>
            <w:tcW w:type="pct" w:w="3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Tokens (est.)</w:t>
            </w:r>
          </w:p>
        </w:tc>
        <w:tc>
          <w:tcPr>
            <w:tcW w:type="pct" w:w="23%"/>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Source</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System prompt + Lesson Plan Constitution</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~500–600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Hardcoded in generate_lesson_plan()</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Framework context — NCF Pedagogy + Curricular Goals</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~1,600–1,800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fetch_framework_context() — ChromaDB</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Chapter mapping — summary + competencies + weights</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~700–1,000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fetch_chapter_mapping() — JSON store</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Teacher inputs (period count, duration)</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~50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Streamlit UI</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Total input tokens (estimated)</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~2,850–3,450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Output — lesson plan + structured LO Handoff</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~1,600–2,000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Claude generation</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Total tokens per call (estimated)</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~4,450–5,450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Cost: ~₹1.25–1.55</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7.3  </w:t>
      </w:r>
      <w:r>
        <w:rPr>
          <w:rFonts w:ascii="Arial" w:cs="Arial" w:eastAsia="Arial" w:hAnsi="Arial"/>
          <w:b/>
          <w:bCs/>
          <w:i w:val="false"/>
          <w:iCs w:val="false"/>
          <w:color w:val="1A6B5A"/>
          <w:sz w:val="19"/>
          <w:szCs w:val="19"/>
        </w:rPr>
        <w:t xml:space="preserve">Token Composition — Assessment Generation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Context Component</w:t>
            </w:r>
          </w:p>
        </w:tc>
        <w:tc>
          <w:tcPr>
            <w:tcW w:type="pct" w:w="32%"/>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Tokens (est.)</w:t>
            </w:r>
          </w:p>
        </w:tc>
        <w:tc>
          <w:tcPr>
            <w:tcW w:type="pct" w:w="23%"/>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Source</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System prompt + Assessment Constitution</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~500–600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Hardcoded in generate_assessment_plan()</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Structured LO Handoff from lesson plan</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~300–500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Output of generate_lesson_plan()</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Assessment Framework chunks</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~800–1,000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ChromaDB retrieval</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Total input tokens (estimated)</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~1,600–2,100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Output — assessment plan</w:t>
            </w:r>
          </w:p>
        </w:tc>
        <w:tc>
          <w:tcPr>
            <w:tcW w:type="pct" w:w="32%"/>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~800–1,000</w:t>
            </w:r>
          </w:p>
        </w:tc>
        <w:tc>
          <w:tcPr>
            <w:tcW w:type="pct" w:w="23%"/>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Claude generation</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Total tokens per call (estimated)</w:t>
            </w:r>
          </w:p>
        </w:tc>
        <w:tc>
          <w:tcPr>
            <w:tcW w:type="pct" w:w="32%"/>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~2,400–3,100</w:t>
            </w:r>
          </w:p>
        </w:tc>
        <w:tc>
          <w:tcPr>
            <w:tcW w:type="pct" w:w="23%"/>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Cost: ~₹0.80–1.20</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7.4  </w:t>
      </w:r>
      <w:r>
        <w:rPr>
          <w:rFonts w:ascii="Arial" w:cs="Arial" w:eastAsia="Arial" w:hAnsi="Arial"/>
          <w:b/>
          <w:bCs/>
          <w:i w:val="false"/>
          <w:iCs w:val="false"/>
          <w:color w:val="1A6B5A"/>
          <w:sz w:val="19"/>
          <w:szCs w:val="19"/>
        </w:rPr>
        <w:t xml:space="preserve">One-Time Build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Build Operation</w:t>
            </w:r>
          </w:p>
        </w:tc>
        <w:tc>
          <w:tcPr>
            <w:tcW w:type="pct" w:w="28%"/>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Tokens (est.)</w:t>
            </w:r>
          </w:p>
        </w:tc>
        <w:tc>
          <w:tcPr>
            <w:tcW w:type="pct" w:w="27%"/>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One-Time Cost</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Chapter mapping: per chapter</w:t>
            </w:r>
          </w:p>
        </w:tc>
        <w:tc>
          <w:tcPr>
            <w:tcW w:type="pct" w:w="2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~1,800</w:t>
            </w:r>
          </w:p>
        </w:tc>
        <w:tc>
          <w:tcPr>
            <w:tcW w:type="pct" w:w="27%"/>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~₹4–5 per chapter</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Typical subject: 12–15 chapters</w:t>
            </w:r>
          </w:p>
        </w:tc>
        <w:tc>
          <w:tcPr>
            <w:tcW w:type="pct" w:w="28%"/>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~22,000–27,000</w:t>
            </w:r>
          </w:p>
        </w:tc>
        <w:tc>
          <w:tcPr>
            <w:tcW w:type="pct" w:w="27%"/>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~₹50–65 per subject/grade</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Full Middle Stage Social Science (3 grades)</w:t>
            </w:r>
          </w:p>
        </w:tc>
        <w:tc>
          <w:tcPr>
            <w:tcW w:type="pct" w:w="2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~65,000–80,000</w:t>
            </w:r>
          </w:p>
        </w:tc>
        <w:tc>
          <w:tcPr>
            <w:tcW w:type="pct" w:w="27%"/>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~₹150–190</w:t>
            </w:r>
          </w:p>
        </w:tc>
      </w:tr>
      <w:tr>
        <w:tc>
          <w:tcPr>
            <w:tcW w:type="pct" w:w="45%"/>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ingest_framework_documents()</w:t>
            </w:r>
          </w:p>
        </w:tc>
        <w:tc>
          <w:tcPr>
            <w:tcW w:type="pct" w:w="28%"/>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Zero</w:t>
            </w:r>
          </w:p>
        </w:tc>
        <w:tc>
          <w:tcPr>
            <w:tcW w:type="pct" w:w="27%"/>
            <w:shd w:fill="FFFFFF" w:color="FFFFFF"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Local embeddings — no API call</w:t>
            </w:r>
          </w:p>
        </w:tc>
      </w:tr>
      <w:tr>
        <w:tc>
          <w:tcPr>
            <w:tcW w:type="pct" w:w="45%"/>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validate_stores()</w:t>
            </w:r>
          </w:p>
        </w:tc>
        <w:tc>
          <w:tcPr>
            <w:tcW w:type="pct" w:w="28%"/>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Zero</w:t>
            </w:r>
          </w:p>
        </w:tc>
        <w:tc>
          <w:tcPr>
            <w:tcW w:type="pct" w:w="27%"/>
            <w:shd w:fill="F5F5F5" w:color="F5F5F5" w:val="solid"/>
            <w:tcMar>
              <w:top w:type="dxa" w:w="80"/>
              <w:left w:type="dxa" w:w="120"/>
              <w:bottom w:type="dxa" w:w="80"/>
              <w:right w:type="dxa" w:w="80"/>
            </w:tcMar>
            <w:vAlign w:val="top"/>
          </w:tcPr>
          <w:p>
            <w:r>
              <w:rPr>
                <w:rFonts w:ascii="Arial" w:cs="Arial" w:eastAsia="Arial" w:hAnsi="Arial"/>
                <w:b w:val="false"/>
                <w:bCs w:val="false"/>
                <w:i w:val="false"/>
                <w:iCs w:val="false"/>
                <w:color w:val="1F2937"/>
                <w:sz w:val="16"/>
                <w:szCs w:val="16"/>
              </w:rPr>
              <w:t xml:space="preserve">No API call</w:t>
            </w:r>
          </w:p>
        </w:tc>
      </w:tr>
    </w:tbl>
    <w:p>
      <w:pPr>
        <w:spacing w:after="0" w:before="80"/>
      </w:pPr>
    </w:p>
    <w:p>
      <w:pPr>
        <w:spacing w:after="60" w:before="180"/>
        <w:jc w:val="left"/>
      </w:pPr>
      <w:r>
        <w:rPr>
          <w:rFonts w:ascii="Arial" w:cs="Arial" w:eastAsia="Arial" w:hAnsi="Arial"/>
          <w:b/>
          <w:bCs/>
          <w:i w:val="false"/>
          <w:iCs w:val="false"/>
          <w:color w:val="1A6B5A"/>
          <w:sz w:val="19"/>
          <w:szCs w:val="19"/>
        </w:rPr>
        <w:t xml:space="preserve">7.5  </w:t>
      </w:r>
      <w:r>
        <w:rPr>
          <w:rFonts w:ascii="Arial" w:cs="Arial" w:eastAsia="Arial" w:hAnsi="Arial"/>
          <w:b/>
          <w:bCs/>
          <w:i w:val="false"/>
          <w:iCs w:val="false"/>
          <w:color w:val="1A6B5A"/>
          <w:sz w:val="19"/>
          <w:szCs w:val="19"/>
        </w:rPr>
        <w:t xml:space="preserve">Scaling Cost Model</w:t>
      </w:r>
    </w:p>
    <w:p>
      <w:pPr>
        <w:spacing w:after="80" w:before="0"/>
        <w:jc w:val="left"/>
      </w:pPr>
      <w:r>
        <w:rPr>
          <w:rFonts w:ascii="Arial" w:cs="Arial" w:eastAsia="Arial" w:hAnsi="Arial"/>
          <w:b w:val="false"/>
          <w:bCs w:val="false"/>
          <w:i w:val="false"/>
          <w:iCs w:val="false"/>
          <w:color w:val="1F2937"/>
          <w:sz w:val="17"/>
          <w:szCs w:val="17"/>
        </w:rPr>
        <w:t xml:space="preserve">Once the prototype validates these estimates, the cost model for the full platform is straightforward. Every new subject/grade combination requires: build_chapter_mapping() runs for all chapters (~₹50–65 one-time); ingest_framework_documents() at zero cost; and the same runtime costs per teacher request. The prototype's token log — one row per call, cumulative totals visible — is the scaling model made visible.</w:t>
      </w:r>
    </w:p>
    <w:tbl>
      <w:tblPr>
        <w:tblW w:type="pct" w:w="100%"/>
        <w:tblBorders>
          <w:top w:val="none"/>
          <w:left w:val="none"/>
          <w:bottom w:val="none"/>
          <w:right w:val="none"/>
          <w:insideH w:val="single" w:color="auto" w:sz="4"/>
          <w:insideV w:val="single" w:color="auto" w:sz="4"/>
        </w:tblBorders>
      </w:tblPr>
      <w:tblGrid>
        <w:gridCol w:w="100"/>
      </w:tblGrid>
      <w:tr>
        <w:tc>
          <w:tcPr>
            <w:shd w:fill="1A6B5A" w:color="1A6B5A" w:val="solid"/>
            <w:tcMar>
              <w:top w:type="dxa" w:w="100"/>
              <w:left w:type="dxa" w:w="200"/>
              <w:bottom w:type="dxa" w:w="100"/>
              <w:right w:type="dxa" w:w="200"/>
            </w:tcMar>
          </w:tcPr>
          <w:p>
            <w:pPr>
              <w:spacing w:after="0" w:before="0"/>
            </w:pPr>
            <w:r>
              <w:rPr>
                <w:rFonts w:ascii="Arial" w:cs="Arial" w:eastAsia="Arial" w:hAnsi="Arial"/>
                <w:b/>
                <w:bCs/>
                <w:i w:val="false"/>
                <w:iCs w:val="false"/>
                <w:color w:val="FFFFFF"/>
                <w:sz w:val="22"/>
                <w:szCs w:val="22"/>
              </w:rPr>
              <w:t xml:space="preserve">SECTION 8  —  ROADMAP</w:t>
            </w:r>
          </w:p>
        </w:tc>
      </w:tr>
    </w:tbl>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Phase</w:t>
            </w:r>
          </w:p>
        </w:tc>
        <w:tc>
          <w:tcPr>
            <w:tcW w:type="pct" w:w="65%"/>
            <w:shd w:fill="1A6B5A" w:color="1A6B5A" w:val="solid"/>
            <w:tcMar>
              <w:top w:type="dxa" w:w="80"/>
              <w:left w:type="dxa" w:w="120"/>
              <w:bottom w:type="dxa" w:w="80"/>
              <w:right w:type="dxa" w:w="80"/>
            </w:tcMar>
          </w:tcPr>
          <w:p>
            <w:r>
              <w:rPr>
                <w:rFonts w:ascii="Arial" w:cs="Arial" w:eastAsia="Arial" w:hAnsi="Arial"/>
                <w:b/>
                <w:bCs/>
                <w:i w:val="false"/>
                <w:iCs w:val="false"/>
                <w:color w:val="FFFFFF"/>
                <w:sz w:val="16"/>
                <w:szCs w:val="16"/>
              </w:rPr>
              <w:t xml:space="preserve">Scope &amp; Gating Condition</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Prototype — Class VII Social Science</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End-to-end validation: competency mapping for all chapters, annual plan optimiser, lesson plan generation, assessment plan generation. Token cost measurement per call. Expert review of mapping quality and lesson plan output. This is the gating milestone — nothing else proceeds until this validates.</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Horizontal expansion — Middle Stage</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Repeat build phases (gather docs, map chapters, ingest) for remaining Class VII subjects and Classes VI and VIII. Code unchanged. Constitution selection is automatic via subject group fetch key. Each additional subject/grade: ~₹50–65 build cost, zero additional code.</w:t>
            </w:r>
          </w:p>
        </w:tc>
      </w:tr>
      <w:tr>
        <w:tc>
          <w:tcPr>
            <w:tcW w:type="pct" w:w="3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Vertical expansion — Secondary Stage</w:t>
            </w:r>
          </w:p>
        </w:tc>
        <w:tc>
          <w:tcPr>
            <w:tcW w:type="pct" w:w="65%"/>
            <w:shd w:fill="F5F5F5" w:color="F5F5F5"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Secondary Stage introduces new CG clusters and more complex sub-discipline interactions. The four Competency Mapping Constitutions handle this — their structural test logic is stage-agnostic. Only the source documents change.</w:t>
            </w:r>
          </w:p>
        </w:tc>
      </w:tr>
      <w:tr>
        <w:tc>
          <w:tcPr>
            <w:tcW w:type="pct" w:w="3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Production stack</w:t>
            </w:r>
          </w:p>
        </w:tc>
        <w:tc>
          <w:tcPr>
            <w:tcW w:type="pct" w:w="65%"/>
            <w:shd w:fill="FFFFFF" w:color="FFFFFF" w:val="solid"/>
            <w:tcMar>
              <w:top w:type="dxa" w:w="80"/>
              <w:left w:type="dxa" w:w="120"/>
              <w:bottom w:type="dxa" w:w="80"/>
              <w:right w:type="dxa" w:w="80"/>
            </w:tcMar>
          </w:tcPr>
          <w:p>
            <w:r>
              <w:rPr>
                <w:rFonts w:ascii="Arial" w:cs="Arial" w:eastAsia="Arial" w:hAnsi="Arial"/>
                <w:b w:val="false"/>
                <w:bCs w:val="false"/>
                <w:i w:val="false"/>
                <w:iCs w:val="false"/>
                <w:color w:val="1F2937"/>
                <w:sz w:val="16"/>
                <w:szCs w:val="16"/>
              </w:rPr>
              <w:t xml:space="preserve">Python backend carries forward unchanged. UI layer upgrades to Next.js + Tailwind. ChromaDB migrates to Supabase + pgvector. Authentication and school-level data isolation via Supabase Auth. Hosting: Vercel (frontend) + Railway or Render (Python backend).</w:t>
            </w:r>
          </w:p>
        </w:tc>
      </w:tr>
    </w:tbl>
    <w:p>
      <w:pPr>
        <w:spacing w:after="0" w:before="80"/>
      </w:pPr>
    </w:p>
    <w:p>
      <w:pPr>
        <w:spacing w:after="60" w:before="40"/>
        <w:jc w:val="center"/>
      </w:pPr>
      <w:r>
        <w:rPr>
          <w:rFonts w:ascii="Arial" w:cs="Arial" w:eastAsia="Arial" w:hAnsi="Arial"/>
          <w:b w:val="false"/>
          <w:bCs w:val="false"/>
          <w:i/>
          <w:iCs/>
          <w:color w:val="AAAAAA"/>
          <w:sz w:val="15"/>
          <w:szCs w:val="15"/>
        </w:rPr>
        <w:t xml:space="preserve">Aruvi  ·  Full Project Report  v3  ·  Internal Document</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jc w:val="left"/>
    </w:pPr>
    <w:r>
      <w:rPr>
        <w:rFonts w:ascii="Arial" w:cs="Arial" w:eastAsia="Arial" w:hAnsi="Arial"/>
        <w:b w:val="false"/>
        <w:bCs w:val="false"/>
        <w:i w:val="false"/>
        <w:iCs w:val="false"/>
        <w:color w:val="AAAAAA"/>
        <w:sz w:val="14"/>
        <w:szCs w:val="14"/>
      </w:rPr>
      <w:t xml:space="preserve">Aruvi · Internal Document · Vision · Architecture · Constitution Framework · Token Economics · Roadmap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3"/>
      </w:pBdr>
      <w:spacing w:after="60" w:before="0"/>
      <w:jc w:val="left"/>
    </w:pPr>
    <w:r>
      <w:rPr>
        <w:rFonts w:ascii="Arial" w:cs="Arial" w:eastAsia="Arial" w:hAnsi="Arial"/>
        <w:b/>
        <w:bCs/>
        <w:i w:val="false"/>
        <w:iCs w:val="false"/>
        <w:color w:val="1A6B5A"/>
        <w:sz w:val="17"/>
        <w:szCs w:val="17"/>
      </w:rPr>
      <w:t xml:space="preserve">ARUVI  ·  </w:t>
    </w:r>
    <w:r>
      <w:rPr>
        <w:rFonts w:ascii="Arial" w:cs="Arial" w:eastAsia="Arial" w:hAnsi="Arial"/>
        <w:b w:val="false"/>
        <w:bCs w:val="false"/>
        <w:i w:val="false"/>
        <w:iCs w:val="false"/>
        <w:color w:val="888888"/>
        <w:sz w:val="16"/>
        <w:szCs w:val="16"/>
      </w:rPr>
      <w:t xml:space="preserve">An NCF 2023-Aligned Pedagogical Platform for Indian Schools  ·  </w:t>
    </w:r>
    <w:r>
      <w:rPr>
        <w:rFonts w:ascii="Arial" w:cs="Arial" w:eastAsia="Arial" w:hAnsi="Arial"/>
        <w:b w:val="false"/>
        <w:bCs w:val="false"/>
        <w:i w:val="false"/>
        <w:iCs w:val="false"/>
        <w:color w:val="1A6B5A"/>
        <w:sz w:val="16"/>
        <w:szCs w:val="16"/>
      </w:rPr>
      <w:t xml:space="preserve">Full Project Report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A6B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2026-03-05T08:57:57.001Z</dcterms:created>
  <dcterms:modified xsi:type="dcterms:W3CDTF">2026-03-05T08:57:57.002Z</dcterms:modified>
</cp:coreProperties>
</file>

<file path=docProps/custom.xml><?xml version="1.0" encoding="utf-8"?>
<Properties xmlns="http://schemas.openxmlformats.org/officeDocument/2006/custom-properties" xmlns:vt="http://schemas.openxmlformats.org/officeDocument/2006/docPropsVTypes"/>
</file>