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pPr>
      <w:r>
        <w:rPr>
          <w:rFonts w:ascii="Arial" w:cs="Arial" w:eastAsia="Arial" w:hAnsi="Arial"/>
          <w:b/>
          <w:bCs/>
          <w:color w:val="1F4E79"/>
          <w:sz w:val="56"/>
          <w:szCs w:val="56"/>
        </w:rPr>
        <w:t xml:space="preserve">ARUVI</w:t>
      </w:r>
    </w:p>
    <w:p>
      <w:pPr>
        <w:spacing w:before="0" w:after="240"/>
      </w:pPr>
      <w:r>
        <w:rPr>
          <w:rFonts w:ascii="Arial" w:cs="Arial" w:eastAsia="Arial" w:hAnsi="Arial"/>
          <w:i/>
          <w:iCs/>
          <w:color w:val="555555"/>
          <w:sz w:val="24"/>
          <w:szCs w:val="24"/>
        </w:rPr>
        <w:t xml:space="preserve">Competency Mapping Constitutions</w:t>
      </w:r>
    </w:p>
    <w:p>
      <w:pPr>
        <w:spacing w:before="0" w:after="120"/>
      </w:pPr>
      <w:r>
        <w:rPr>
          <w:rFonts w:ascii="Arial" w:cs="Arial" w:eastAsia="Arial" w:hAnsi="Arial"/>
          <w:color w:val="666666"/>
          <w:sz w:val="21"/>
          <w:szCs w:val="21"/>
        </w:rPr>
        <w:t xml:space="preserve">Knowledge Commons  -  Chapter-to-Competency Mapping  -  All Subject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EEEEE" w:sz="1"/>
              <w:left w:val="single" w:color="1F4E79" w:sz="16"/>
              <w:bottom w:val="single" w:color="EEEEEE" w:sz="1"/>
              <w:right w:val="none" w:color="FFFFFF" w:sz="0"/>
            </w:tcBorders>
            <w:shd w:fill="DEEAF1" w:val="clear"/>
            <w:tcMar>
              <w:top w:type="dxa" w:w="120"/>
              <w:left w:type="dxa" w:w="160"/>
              <w:bottom w:type="dxa" w:w="120"/>
              <w:right w:type="dxa" w:w="160"/>
            </w:tcMar>
          </w:tcPr>
          <w:p>
            <w:r>
              <w:rPr>
                <w:rFonts w:ascii="Arial" w:cs="Arial" w:eastAsia="Arial" w:hAnsi="Arial"/>
                <w:i/>
                <w:iCs/>
                <w:sz w:val="21"/>
                <w:szCs w:val="21"/>
              </w:rPr>
              <w:t xml:space="preserve">This document contains the four constitutional documents that govern how Aruvi maps any NCERT chapter to its NCF 2023 Curricular Goals and Competency codes (C-codes) and assigns each a weight of 3, 2, or 1. Each constitution is a discrete, independently fetched document. They are not variations of a common template -- each reflects the cognitive and structural nature of its subject group. They are stored separately and retrieved by exact key lookup based on subject group and task type.</w:t>
            </w:r>
          </w:p>
        </w:tc>
      </w:tr>
    </w:tbl>
    <w:p>
      <w:pPr>
        <w:spacing w:before="200" w:after="0"/>
      </w:pPr>
      <w:r>
        <w:t xml:space="preserve"/>
      </w:r>
    </w:p>
    <w:p>
      <w:pPr>
        <w:pBdr>
          <w:bottom w:val="single" w:color="1F4E79" w:sz="6" w:space="4"/>
        </w:pBdr>
        <w:spacing w:before="360" w:after="160"/>
      </w:pPr>
      <w:r>
        <w:rPr>
          <w:rFonts w:ascii="Arial" w:cs="Arial" w:eastAsia="Arial" w:hAnsi="Arial"/>
          <w:b/>
          <w:bCs/>
          <w:color w:val="1F4E79"/>
          <w:sz w:val="32"/>
          <w:szCs w:val="32"/>
        </w:rPr>
        <w:t xml:space="preserve">Architecture Note</w:t>
      </w:r>
    </w:p>
    <w:p>
      <w:pPr>
        <w:spacing w:before="60" w:after="80"/>
      </w:pPr>
      <w:r>
        <w:rPr>
          <w:rFonts w:ascii="Arial" w:cs="Arial" w:eastAsia="Arial" w:hAnsi="Arial"/>
          <w:sz w:val="21"/>
          <w:szCs w:val="21"/>
        </w:rPr>
        <w:t xml:space="preserve">Each constitution is stored as a vector document with four metadata fields: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4E79" w:sz="1"/>
              <w:left w:val="single" w:color="1F4E79" w:sz="1"/>
              <w:bottom w:val="single" w:color="1F4E79" w:sz="1"/>
              <w:right w:val="single" w:color="1F4E79" w:sz="1"/>
            </w:tcBorders>
            <w:shd w:fill="1F4E79" w:val="clear"/>
            <w:tcMar>
              <w:top w:type="dxa" w:w="120"/>
              <w:left w:type="dxa" w:w="160"/>
              <w:bottom w:type="dxa" w:w="120"/>
              <w:right w:type="dxa" w:w="160"/>
            </w:tcMar>
          </w:tcPr>
          <w:p>
            <w:r>
              <w:rPr>
                <w:rFonts w:ascii="Arial" w:cs="Arial" w:eastAsia="Arial" w:hAnsi="Arial"/>
                <w:b/>
                <w:bCs/>
                <w:color w:val="FFFFFF"/>
                <w:sz w:val="21"/>
                <w:szCs w:val="21"/>
              </w:rPr>
              <w:t xml:space="preserve">Field</w:t>
            </w:r>
          </w:p>
        </w:tc>
        <w:tc>
          <w:tcPr>
            <w:tcW w:type="dxa" w:w="7160"/>
            <w:tcBorders>
              <w:top w:val="single" w:color="1F4E79" w:sz="1"/>
              <w:left w:val="single" w:color="1F4E79" w:sz="1"/>
              <w:bottom w:val="single" w:color="1F4E79" w:sz="1"/>
              <w:right w:val="single" w:color="1F4E79" w:sz="1"/>
            </w:tcBorders>
            <w:shd w:fill="1F4E79" w:val="clear"/>
            <w:tcMar>
              <w:top w:type="dxa" w:w="120"/>
              <w:left w:type="dxa" w:w="160"/>
              <w:bottom w:type="dxa" w:w="120"/>
              <w:right w:type="dxa" w:w="160"/>
            </w:tcMar>
          </w:tcPr>
          <w:p>
            <w:r>
              <w:rPr>
                <w:rFonts w:ascii="Arial" w:cs="Arial" w:eastAsia="Arial" w:hAnsi="Arial"/>
                <w:b/>
                <w:bCs/>
                <w:color w:val="FFFFFF"/>
                <w:sz w:val="21"/>
                <w:szCs w:val="21"/>
              </w:rPr>
              <w:t xml:space="preserve">Values</w:t>
            </w:r>
          </w:p>
        </w:tc>
      </w:tr>
      <w:tr>
        <w:tc>
          <w:tcPr>
            <w:tcW w:type="dxa" w:w="220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r>
              <w:rPr>
                <w:rFonts w:ascii="Arial" w:cs="Arial" w:eastAsia="Arial" w:hAnsi="Arial"/>
                <w:b/>
                <w:bCs/>
                <w:sz w:val="20"/>
                <w:szCs w:val="20"/>
              </w:rPr>
              <w:t xml:space="preserve">doc_type</w:t>
            </w:r>
          </w:p>
        </w:tc>
        <w:tc>
          <w:tcPr>
            <w:tcW w:type="dxa" w:w="7160"/>
            <w:tcBorders>
              <w:top w:val="single" w:color="CCCCCC" w:sz="1"/>
              <w:left w:val="single" w:color="CCCCCC" w:sz="1"/>
              <w:bottom w:val="single" w:color="CCCCCC" w:sz="1"/>
              <w:right w:val="single" w:color="CCCCCC" w:sz="1"/>
            </w:tcBorders>
            <w:shd w:fill="F8FBFD" w:val="clear"/>
            <w:tcMar>
              <w:top w:type="dxa" w:w="120"/>
              <w:left w:type="dxa" w:w="160"/>
              <w:bottom w:type="dxa" w:w="120"/>
              <w:right w:type="dxa" w:w="160"/>
            </w:tcMar>
          </w:tcPr>
          <w:p>
            <w:r>
              <w:rPr>
                <w:rFonts w:ascii="Arial" w:cs="Arial" w:eastAsia="Arial" w:hAnsi="Arial"/>
                <w:sz w:val="20"/>
                <w:szCs w:val="20"/>
              </w:rPr>
              <w:t xml:space="preserve">competency_mapping_constitution</w:t>
            </w:r>
          </w:p>
        </w:tc>
      </w:tr>
      <w:tr>
        <w:tc>
          <w:tcPr>
            <w:tcW w:type="dxa" w:w="22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rFonts w:ascii="Arial" w:cs="Arial" w:eastAsia="Arial" w:hAnsi="Arial"/>
                <w:b/>
                <w:bCs/>
                <w:sz w:val="20"/>
                <w:szCs w:val="20"/>
              </w:rPr>
              <w:t xml:space="preserve">subject_group</w:t>
            </w:r>
          </w:p>
        </w:tc>
        <w:tc>
          <w:tcPr>
            <w:tcW w:type="dxa" w:w="71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rFonts w:ascii="Arial" w:cs="Arial" w:eastAsia="Arial" w:hAnsi="Arial"/>
                <w:sz w:val="20"/>
                <w:szCs w:val="20"/>
              </w:rPr>
              <w:t xml:space="preserve">social_sciences  |  languages  |  mathematics  |  science</w:t>
            </w:r>
          </w:p>
        </w:tc>
      </w:tr>
      <w:tr>
        <w:tc>
          <w:tcPr>
            <w:tcW w:type="dxa" w:w="220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r>
              <w:rPr>
                <w:rFonts w:ascii="Arial" w:cs="Arial" w:eastAsia="Arial" w:hAnsi="Arial"/>
                <w:b/>
                <w:bCs/>
                <w:sz w:val="20"/>
                <w:szCs w:val="20"/>
              </w:rPr>
              <w:t xml:space="preserve">task</w:t>
            </w:r>
          </w:p>
        </w:tc>
        <w:tc>
          <w:tcPr>
            <w:tcW w:type="dxa" w:w="7160"/>
            <w:tcBorders>
              <w:top w:val="single" w:color="CCCCCC" w:sz="1"/>
              <w:left w:val="single" w:color="CCCCCC" w:sz="1"/>
              <w:bottom w:val="single" w:color="CCCCCC" w:sz="1"/>
              <w:right w:val="single" w:color="CCCCCC" w:sz="1"/>
            </w:tcBorders>
            <w:shd w:fill="F8FBFD" w:val="clear"/>
            <w:tcMar>
              <w:top w:type="dxa" w:w="120"/>
              <w:left w:type="dxa" w:w="160"/>
              <w:bottom w:type="dxa" w:w="120"/>
              <w:right w:type="dxa" w:w="160"/>
            </w:tcMar>
          </w:tcPr>
          <w:p>
            <w:r>
              <w:rPr>
                <w:rFonts w:ascii="Arial" w:cs="Arial" w:eastAsia="Arial" w:hAnsi="Arial"/>
                <w:sz w:val="20"/>
                <w:szCs w:val="20"/>
              </w:rPr>
              <w:t xml:space="preserve">chapter_to_competency_mapping</w:t>
            </w:r>
          </w:p>
        </w:tc>
      </w:tr>
      <w:tr>
        <w:tc>
          <w:tcPr>
            <w:tcW w:type="dxa" w:w="220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rFonts w:ascii="Arial" w:cs="Arial" w:eastAsia="Arial" w:hAnsi="Arial"/>
                <w:b/>
                <w:bCs/>
                <w:sz w:val="20"/>
                <w:szCs w:val="20"/>
              </w:rPr>
              <w:t xml:space="preserve">fetch_key</w:t>
            </w:r>
          </w:p>
        </w:tc>
        <w:tc>
          <w:tcPr>
            <w:tcW w:type="dxa" w:w="71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rFonts w:ascii="Arial" w:cs="Arial" w:eastAsia="Arial" w:hAnsi="Arial"/>
                <w:sz w:val="20"/>
                <w:szCs w:val="20"/>
              </w:rPr>
              <w:t xml:space="preserve">competency_constitution_{subject_group}</w:t>
            </w:r>
          </w:p>
        </w:tc>
      </w:tr>
    </w:tbl>
    <w:p>
      <w:pPr>
        <w:spacing w:before="120" w:after="0"/>
      </w:pPr>
      <w:r>
        <w:t xml:space="preserve"/>
      </w:r>
    </w:p>
    <w:p>
      <w:pPr>
        <w:spacing w:before="60" w:after="80"/>
      </w:pPr>
      <w:r>
        <w:rPr>
          <w:rFonts w:ascii="Arial" w:cs="Arial" w:eastAsia="Arial" w:hAnsi="Arial"/>
          <w:sz w:val="21"/>
          <w:szCs w:val="21"/>
        </w:rPr>
        <w:t xml:space="preserve">Retrieval requires no semantic search. The fetch function takes subject_group and task as exact keys and returns one document. No other document is retrieved for this task.</w:t>
      </w:r>
    </w:p>
    <w:p>
      <w:pPr>
        <w:spacing w:before="200" w:after="0"/>
      </w:pPr>
      <w:r>
        <w:t xml:space="preserve"/>
      </w:r>
    </w:p>
    <w:p>
      <w:pPr>
        <w:pBdr>
          <w:bottom w:val="single" w:color="1F4E79" w:sz="6" w:space="4"/>
        </w:pBdr>
        <w:spacing w:before="360" w:after="160"/>
      </w:pPr>
      <w:r>
        <w:rPr>
          <w:rFonts w:ascii="Arial" w:cs="Arial" w:eastAsia="Arial" w:hAnsi="Arial"/>
          <w:b/>
          <w:bCs/>
          <w:color w:val="1F4E79"/>
          <w:sz w:val="32"/>
          <w:szCs w:val="32"/>
        </w:rPr>
        <w:t xml:space="preserve">Contents</w:t>
      </w:r>
    </w:p>
    <w:p>
      <w:pPr>
        <w:spacing w:before="80" w:after="80"/>
      </w:pPr>
      <w:r>
        <w:rPr>
          <w:rFonts w:ascii="Arial" w:cs="Arial" w:eastAsia="Arial" w:hAnsi="Arial"/>
          <w:b/>
          <w:bCs/>
          <w:color w:val="006666"/>
          <w:sz w:val="22"/>
          <w:szCs w:val="22"/>
        </w:rPr>
        <w:t xml:space="preserve">I.  </w:t>
      </w:r>
      <w:r>
        <w:rPr>
          <w:rFonts w:ascii="Arial" w:cs="Arial" w:eastAsia="Arial" w:hAnsi="Arial"/>
          <w:b/>
          <w:bCs/>
          <w:sz w:val="22"/>
          <w:szCs w:val="22"/>
        </w:rPr>
        <w:t xml:space="preserve">Social Sciences Constitution</w:t>
      </w:r>
      <w:r>
        <w:rPr>
          <w:rFonts w:ascii="Arial" w:cs="Arial" w:eastAsia="Arial" w:hAnsi="Arial"/>
          <w:i/>
          <w:iCs/>
          <w:color w:val="777777"/>
          <w:sz w:val="21"/>
          <w:szCs w:val="21"/>
        </w:rPr>
        <w:t xml:space="preserve">  --  Middle Stage - Secondary Stage</w:t>
      </w:r>
    </w:p>
    <w:p>
      <w:pPr>
        <w:spacing w:before="80" w:after="80"/>
      </w:pPr>
      <w:r>
        <w:rPr>
          <w:rFonts w:ascii="Arial" w:cs="Arial" w:eastAsia="Arial" w:hAnsi="Arial"/>
          <w:b/>
          <w:bCs/>
          <w:color w:val="2E75B6"/>
          <w:sz w:val="22"/>
          <w:szCs w:val="22"/>
        </w:rPr>
        <w:t xml:space="preserve">II.  </w:t>
      </w:r>
      <w:r>
        <w:rPr>
          <w:rFonts w:ascii="Arial" w:cs="Arial" w:eastAsia="Arial" w:hAnsi="Arial"/>
          <w:b/>
          <w:bCs/>
          <w:sz w:val="22"/>
          <w:szCs w:val="22"/>
        </w:rPr>
        <w:t xml:space="preserve">Languages Constitution</w:t>
      </w:r>
      <w:r>
        <w:rPr>
          <w:rFonts w:ascii="Arial" w:cs="Arial" w:eastAsia="Arial" w:hAnsi="Arial"/>
          <w:i/>
          <w:iCs/>
          <w:color w:val="777777"/>
          <w:sz w:val="21"/>
          <w:szCs w:val="21"/>
        </w:rPr>
        <w:t xml:space="preserve">  --  Foundational - Preparatory - Middle - Secondary Stage</w:t>
      </w:r>
    </w:p>
    <w:p>
      <w:pPr>
        <w:spacing w:before="80" w:after="80"/>
      </w:pPr>
      <w:r>
        <w:rPr>
          <w:rFonts w:ascii="Arial" w:cs="Arial" w:eastAsia="Arial" w:hAnsi="Arial"/>
          <w:b/>
          <w:bCs/>
          <w:color w:val="7B3F00"/>
          <w:sz w:val="22"/>
          <w:szCs w:val="22"/>
        </w:rPr>
        <w:t xml:space="preserve">III.  </w:t>
      </w:r>
      <w:r>
        <w:rPr>
          <w:rFonts w:ascii="Arial" w:cs="Arial" w:eastAsia="Arial" w:hAnsi="Arial"/>
          <w:b/>
          <w:bCs/>
          <w:sz w:val="22"/>
          <w:szCs w:val="22"/>
        </w:rPr>
        <w:t xml:space="preserve">Mathematics Constitution</w:t>
      </w:r>
      <w:r>
        <w:rPr>
          <w:rFonts w:ascii="Arial" w:cs="Arial" w:eastAsia="Arial" w:hAnsi="Arial"/>
          <w:i/>
          <w:iCs/>
          <w:color w:val="777777"/>
          <w:sz w:val="21"/>
          <w:szCs w:val="21"/>
        </w:rPr>
        <w:t xml:space="preserve">  --  Middle Stage - Secondary Stage</w:t>
      </w:r>
    </w:p>
    <w:p>
      <w:pPr>
        <w:spacing w:before="80" w:after="80"/>
      </w:pPr>
      <w:r>
        <w:rPr>
          <w:rFonts w:ascii="Arial" w:cs="Arial" w:eastAsia="Arial" w:hAnsi="Arial"/>
          <w:b/>
          <w:bCs/>
          <w:color w:val="1D4E1D"/>
          <w:sz w:val="22"/>
          <w:szCs w:val="22"/>
        </w:rPr>
        <w:t xml:space="preserve">IV.  </w:t>
      </w:r>
      <w:r>
        <w:rPr>
          <w:rFonts w:ascii="Arial" w:cs="Arial" w:eastAsia="Arial" w:hAnsi="Arial"/>
          <w:b/>
          <w:bCs/>
          <w:sz w:val="22"/>
          <w:szCs w:val="22"/>
        </w:rPr>
        <w:t xml:space="preserve">Science Constitution</w:t>
      </w:r>
      <w:r>
        <w:rPr>
          <w:rFonts w:ascii="Arial" w:cs="Arial" w:eastAsia="Arial" w:hAnsi="Arial"/>
          <w:i/>
          <w:iCs/>
          <w:color w:val="777777"/>
          <w:sz w:val="21"/>
          <w:szCs w:val="21"/>
        </w:rPr>
        <w:t xml:space="preserve">  --  Middle Stage - Secondary Stage</w:t>
      </w:r>
    </w:p>
    <w:p>
      <w:pPr>
        <w:spacing w:before="80" w:after="0"/>
      </w:pPr>
      <w:r>
        <w:t xml:space="preserve"/>
      </w:r>
    </w:p>
    <w:p>
      <w:r>
        <w:br w:type="page"/>
      </w:r>
    </w:p>
    <w:p>
      <w:pPr>
        <w:spacing w:before="480" w:after="80"/>
      </w:pPr>
      <w:r>
        <w:rPr>
          <w:rFonts w:ascii="Arial" w:cs="Arial" w:eastAsia="Arial" w:hAnsi="Arial"/>
          <w:b/>
          <w:bCs/>
          <w:color w:val="006666"/>
          <w:sz w:val="40"/>
          <w:szCs w:val="40"/>
        </w:rPr>
        <w:t xml:space="preserve">I.  Social Sciences</w:t>
      </w:r>
    </w:p>
    <w:p>
      <w:pPr>
        <w:spacing w:before="0" w:after="60"/>
      </w:pPr>
      <w:r>
        <w:rPr>
          <w:rFonts w:ascii="Arial" w:cs="Arial" w:eastAsia="Arial" w:hAnsi="Arial"/>
          <w:i/>
          <w:iCs/>
          <w:color w:val="555555"/>
          <w:sz w:val="22"/>
          <w:szCs w:val="22"/>
        </w:rPr>
        <w:t xml:space="preserve">Content-bound cognitive transformation - Chapter architecture as structural marker - Sub-discipline disambiguation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006666"/>
                <w:sz w:val="19"/>
                <w:szCs w:val="19"/>
              </w:rPr>
              <w:t xml:space="preserve">Subject Group: </w:t>
            </w:r>
            <w:r>
              <w:rPr>
                <w:rFonts w:ascii="Arial" w:cs="Arial" w:eastAsia="Arial" w:hAnsi="Arial"/>
                <w:sz w:val="19"/>
                <w:szCs w:val="19"/>
              </w:rPr>
              <w:t xml:space="preserve">social_sciences</w:t>
            </w:r>
          </w:p>
        </w:tc>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006666"/>
                <w:sz w:val="19"/>
                <w:szCs w:val="19"/>
              </w:rPr>
              <w:t xml:space="preserve">Stages: </w:t>
            </w:r>
            <w:r>
              <w:rPr>
                <w:rFonts w:ascii="Arial" w:cs="Arial" w:eastAsia="Arial" w:hAnsi="Arial"/>
                <w:sz w:val="19"/>
                <w:szCs w:val="19"/>
              </w:rPr>
              <w:t xml:space="preserve">Middle Stage - Secondary Stage</w:t>
            </w:r>
          </w:p>
        </w:tc>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006666"/>
                <w:sz w:val="19"/>
                <w:szCs w:val="19"/>
              </w:rPr>
              <w:t xml:space="preserve">Task: </w:t>
            </w:r>
            <w:r>
              <w:rPr>
                <w:rFonts w:ascii="Arial" w:cs="Arial" w:eastAsia="Arial" w:hAnsi="Arial"/>
                <w:sz w:val="19"/>
                <w:szCs w:val="19"/>
              </w:rPr>
              <w:t xml:space="preserve">chapter_to_competency_mapping</w:t>
            </w:r>
          </w:p>
        </w:tc>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006666"/>
                <w:sz w:val="19"/>
                <w:szCs w:val="19"/>
              </w:rPr>
              <w:t xml:space="preserve">Fetch Key: </w:t>
            </w:r>
            <w:r>
              <w:rPr>
                <w:rFonts w:ascii="Arial" w:cs="Arial" w:eastAsia="Arial" w:hAnsi="Arial"/>
                <w:sz w:val="19"/>
                <w:szCs w:val="19"/>
              </w:rPr>
              <w:t xml:space="preserve">competency_constitution_social_sciences</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006666" w:sz="1"/>
              <w:left w:val="single" w:color="006666" w:sz="1"/>
              <w:bottom w:val="single" w:color="006666" w:sz="1"/>
              <w:right w:val="single" w:color="006666" w:sz="1"/>
            </w:tcBorders>
            <w:shd w:fill="00666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1</w:t>
            </w:r>
          </w:p>
        </w:tc>
        <w:tc>
          <w:tcPr>
            <w:tcW w:type="dxa" w:w="8760"/>
            <w:tcBorders>
              <w:top w:val="single" w:color="DDDDDD" w:sz="1"/>
              <w:left w:val="single" w:color="006666" w:sz="8"/>
              <w:bottom w:val="single" w:color="DDDDDD" w:sz="1"/>
              <w:right w:val="single" w:color="DDDDDD" w:sz="1"/>
            </w:tcBorders>
            <w:shd w:fill="E2EFEF"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MUST execute the following primary inquiry upon the chapter's content and structure prior to consulting any framework document: 'What cognitive transformation -- analysis, evaluation, causal explanation, spatial reasoning, or deconstruction -- does the chapter's primary structural activities REQUIRE the student to perform, and on what specific content object?'</w:t>
            </w:r>
          </w:p>
        </w:tc>
      </w:tr>
      <w:tr>
        <w:tc>
          <w:tcPr>
            <w:tcW w:type="dxa" w:w="600"/>
            <w:tcBorders>
              <w:top w:val="single" w:color="006666" w:sz="1"/>
              <w:left w:val="single" w:color="006666" w:sz="1"/>
              <w:bottom w:val="single" w:color="006666" w:sz="1"/>
              <w:right w:val="single" w:color="006666" w:sz="1"/>
            </w:tcBorders>
            <w:shd w:fill="00666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2</w:t>
            </w:r>
          </w:p>
        </w:tc>
        <w:tc>
          <w:tcPr>
            <w:tcW w:type="dxa" w:w="8760"/>
            <w:tcBorders>
              <w:top w:val="single" w:color="DDDDDD" w:sz="1"/>
              <w:left w:val="single" w:color="006666" w:sz="8"/>
              <w:bottom w:val="single" w:color="DDDDDD" w:sz="1"/>
              <w:right w:val="single" w:color="DDDDDD" w:sz="1"/>
            </w:tcBorders>
            <w:shd w:fill="E2EFEF"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SHALL map the identified chapter purpose to a C-code by verifying a structural match, defined as the precise alignment between the cognitive action demanded by the chapter's structural exercises and the specific analytical verb and object defined in the Social Sciences C-code.</w:t>
            </w:r>
          </w:p>
        </w:tc>
      </w:tr>
      <w:tr>
        <w:tc>
          <w:tcPr>
            <w:tcW w:type="dxa" w:w="600"/>
            <w:tcBorders>
              <w:top w:val="single" w:color="006666" w:sz="1"/>
              <w:left w:val="single" w:color="006666" w:sz="1"/>
              <w:bottom w:val="single" w:color="006666" w:sz="1"/>
              <w:right w:val="single" w:color="006666" w:sz="1"/>
            </w:tcBorders>
            <w:shd w:fill="00666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3</w:t>
            </w:r>
          </w:p>
        </w:tc>
        <w:tc>
          <w:tcPr>
            <w:tcW w:type="dxa" w:w="8760"/>
            <w:tcBorders>
              <w:top w:val="single" w:color="DDDDDD" w:sz="1"/>
              <w:left w:val="single" w:color="006666" w:sz="8"/>
              <w:bottom w:val="single" w:color="DDDDDD" w:sz="1"/>
              <w:right w:val="single" w:color="DDDDDD" w:sz="1"/>
            </w:tcBorders>
            <w:shd w:fill="E2EFEF"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WILL reject any surface match reliant on shared vocabulary if the chapter's structural architecture does not compel the student to execute the specific analytical process defined by the corresponding C-code.</w:t>
            </w:r>
          </w:p>
        </w:tc>
      </w:tr>
      <w:tr>
        <w:tc>
          <w:tcPr>
            <w:tcW w:type="dxa" w:w="600"/>
            <w:tcBorders>
              <w:top w:val="single" w:color="006666" w:sz="1"/>
              <w:left w:val="single" w:color="006666" w:sz="1"/>
              <w:bottom w:val="single" w:color="006666" w:sz="1"/>
              <w:right w:val="single" w:color="006666" w:sz="1"/>
            </w:tcBorders>
            <w:shd w:fill="00666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4</w:t>
            </w:r>
          </w:p>
        </w:tc>
        <w:tc>
          <w:tcPr>
            <w:tcW w:type="dxa" w:w="8760"/>
            <w:tcBorders>
              <w:top w:val="single" w:color="DDDDDD" w:sz="1"/>
              <w:left w:val="single" w:color="006666" w:sz="8"/>
              <w:bottom w:val="single" w:color="DDDDDD" w:sz="1"/>
              <w:right w:val="single" w:color="DDDDDD" w:sz="1"/>
            </w:tcBorders>
            <w:shd w:fill="E2EFEF"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MUST assign Weight 3 (Central) ONLY IF the complete removal of the competency structurally dissolves the chapter's fundamental organizing purpose.</w:t>
            </w:r>
          </w:p>
        </w:tc>
      </w:tr>
      <w:tr>
        <w:tc>
          <w:tcPr>
            <w:tcW w:type="dxa" w:w="600"/>
            <w:tcBorders>
              <w:top w:val="single" w:color="006666" w:sz="1"/>
              <w:left w:val="single" w:color="006666" w:sz="1"/>
              <w:bottom w:val="single" w:color="006666" w:sz="1"/>
              <w:right w:val="single" w:color="006666" w:sz="1"/>
            </w:tcBorders>
            <w:shd w:fill="00666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5</w:t>
            </w:r>
          </w:p>
        </w:tc>
        <w:tc>
          <w:tcPr>
            <w:tcW w:type="dxa" w:w="8760"/>
            <w:tcBorders>
              <w:top w:val="single" w:color="DDDDDD" w:sz="1"/>
              <w:left w:val="single" w:color="006666" w:sz="8"/>
              <w:bottom w:val="single" w:color="DDDDDD" w:sz="1"/>
              <w:right w:val="single" w:color="DDDDDD" w:sz="1"/>
            </w:tcBorders>
            <w:shd w:fill="E2EFEF"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MUST assign Weight 2 (Substantive) ONLY IF the chapter constructs dedicated, architecturally distinct sections or activity blocks to develop the competency -- sections that could stand alone as a learning unit -- while sharing its overarching structural framework with other substantive competencies.</w:t>
            </w:r>
          </w:p>
        </w:tc>
      </w:tr>
      <w:tr>
        <w:tc>
          <w:tcPr>
            <w:tcW w:type="dxa" w:w="600"/>
            <w:tcBorders>
              <w:top w:val="single" w:color="006666" w:sz="1"/>
              <w:left w:val="single" w:color="006666" w:sz="1"/>
              <w:bottom w:val="single" w:color="006666" w:sz="1"/>
              <w:right w:val="single" w:color="006666" w:sz="1"/>
            </w:tcBorders>
            <w:shd w:fill="00666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6</w:t>
            </w:r>
          </w:p>
        </w:tc>
        <w:tc>
          <w:tcPr>
            <w:tcW w:type="dxa" w:w="8760"/>
            <w:tcBorders>
              <w:top w:val="single" w:color="DDDDDD" w:sz="1"/>
              <w:left w:val="single" w:color="006666" w:sz="8"/>
              <w:bottom w:val="single" w:color="DDDDDD" w:sz="1"/>
              <w:right w:val="single" w:color="DDDDDD" w:sz="1"/>
            </w:tcBorders>
            <w:shd w:fill="E2EFEF"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MUST assign Weight 1 (Present) ONLY IF both conditions are satisfied: the chapter includes at least one explicitly designated structural element -- a textbook exercise, guided question, or student task -- organised around this competency; AND that structural element does not constitute a dedicated section or architecturally distinct activity block. Weight 1 is assigned when the competency is genuinely taught through a single activity or question but is not sustained across a dedicated section.</w:t>
            </w:r>
          </w:p>
        </w:tc>
      </w:tr>
      <w:tr>
        <w:tc>
          <w:tcPr>
            <w:tcW w:type="dxa" w:w="600"/>
            <w:tcBorders>
              <w:top w:val="single" w:color="006666" w:sz="1"/>
              <w:left w:val="single" w:color="006666" w:sz="1"/>
              <w:bottom w:val="single" w:color="006666" w:sz="1"/>
              <w:right w:val="single" w:color="006666" w:sz="1"/>
            </w:tcBorders>
            <w:shd w:fill="00666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7</w:t>
            </w:r>
          </w:p>
        </w:tc>
        <w:tc>
          <w:tcPr>
            <w:tcW w:type="dxa" w:w="8760"/>
            <w:tcBorders>
              <w:top w:val="single" w:color="DDDDDD" w:sz="1"/>
              <w:left w:val="single" w:color="006666" w:sz="8"/>
              <w:bottom w:val="single" w:color="DDDDDD" w:sz="1"/>
              <w:right w:val="single" w:color="DDDDDD" w:sz="1"/>
            </w:tcBorders>
            <w:shd w:fill="E2EFEF"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SHALL classify a competency as Incidental ONLY IF the chapter's content surfaces the competency but the chapter's architecture includes zero explicitly designated structural elements organised around its development.</w:t>
            </w:r>
          </w:p>
        </w:tc>
      </w:tr>
      <w:tr>
        <w:tc>
          <w:tcPr>
            <w:tcW w:type="dxa" w:w="600"/>
            <w:tcBorders>
              <w:top w:val="single" w:color="006666" w:sz="1"/>
              <w:left w:val="single" w:color="006666" w:sz="1"/>
              <w:bottom w:val="single" w:color="006666" w:sz="1"/>
              <w:right w:val="single" w:color="006666" w:sz="1"/>
            </w:tcBorders>
            <w:shd w:fill="00666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8</w:t>
            </w:r>
          </w:p>
        </w:tc>
        <w:tc>
          <w:tcPr>
            <w:tcW w:type="dxa" w:w="8760"/>
            <w:tcBorders>
              <w:top w:val="single" w:color="DDDDDD" w:sz="1"/>
              <w:left w:val="single" w:color="006666" w:sz="8"/>
              <w:bottom w:val="single" w:color="DDDDDD" w:sz="1"/>
              <w:right w:val="single" w:color="DDDDDD" w:sz="1"/>
            </w:tcBorders>
            <w:shd w:fill="E2EFEF" w:val="clear"/>
            <w:tcMar>
              <w:top w:type="dxa" w:w="120"/>
              <w:left w:type="dxa" w:w="160"/>
              <w:bottom w:type="dxa" w:w="120"/>
              <w:right w:type="dxa" w:w="160"/>
            </w:tcMar>
          </w:tcPr>
          <w:p>
            <w:pPr>
              <w:spacing w:before="40" w:after="40"/>
            </w:pPr>
            <w:r>
              <w:rPr>
                <w:rFonts w:ascii="Arial" w:cs="Arial" w:eastAsia="Arial" w:hAnsi="Arial"/>
                <w:sz w:val="21"/>
                <w:szCs w:val="21"/>
              </w:rPr>
              <w:t xml:space="preserve">When a chapter spans multiple Social Sciences sub-disciplines (History, Geography, Political Science, Economics), the system MUST identify the sub-discipline governing the chapter's PRIMARY structural activity -- determined by which sub-discipline the chapter's exercises, questions, and activities most frequently demand -- and restrict Weight 3 to C-codes within that sub-discipline's CG cluster. C-codes from other sub-disciplines MAY receive Weight 2 or Weight 1 but SHALL NOT receive Weight 3 unless the chapter's primary structural activity explicitly crosses sub-discipline boundaries.</w:t>
            </w:r>
          </w:p>
        </w:tc>
      </w:tr>
      <w:tr>
        <w:tc>
          <w:tcPr>
            <w:tcW w:type="dxa" w:w="600"/>
            <w:tcBorders>
              <w:top w:val="single" w:color="006666" w:sz="1"/>
              <w:left w:val="single" w:color="006666" w:sz="1"/>
              <w:bottom w:val="single" w:color="006666" w:sz="1"/>
              <w:right w:val="single" w:color="006666" w:sz="1"/>
            </w:tcBorders>
            <w:shd w:fill="00666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9</w:t>
            </w:r>
          </w:p>
        </w:tc>
        <w:tc>
          <w:tcPr>
            <w:tcW w:type="dxa" w:w="8760"/>
            <w:tcBorders>
              <w:top w:val="single" w:color="DDDDDD" w:sz="1"/>
              <w:left w:val="single" w:color="006666" w:sz="8"/>
              <w:bottom w:val="single" w:color="DDDDDD" w:sz="1"/>
              <w:right w:val="single" w:color="DDDDDD" w:sz="1"/>
            </w:tcBorders>
            <w:shd w:fill="E2EFEF" w:val="clear"/>
            <w:tcMar>
              <w:top w:type="dxa" w:w="120"/>
              <w:left w:type="dxa" w:w="160"/>
              <w:bottom w:type="dxa" w:w="120"/>
              <w:right w:type="dxa" w:w="160"/>
            </w:tcMar>
          </w:tcPr>
          <w:p>
            <w:pPr>
              <w:spacing w:before="40" w:after="40"/>
            </w:pPr>
            <w:r>
              <w:rPr>
                <w:rFonts w:ascii="Arial" w:cs="Arial" w:eastAsia="Arial" w:hAnsi="Arial"/>
                <w:sz w:val="21"/>
                <w:szCs w:val="21"/>
              </w:rPr>
              <w:t xml:space="preserve">In the event two C-codes satisfy the Weight 3 test equally, the system WILL assign Weight 3 to the C-code whose parent CG is explicitly named in the chapter title, the chapter's opening definitional paragraph, or the chapter's concluding synthesis question. The second C-code receives Weight 2. If neither CG satisfies this positional test, both receive Weight 2 and no Weight 3 is assigned.</w:t>
            </w:r>
          </w:p>
        </w:tc>
      </w:tr>
      <w:tr>
        <w:tc>
          <w:tcPr>
            <w:tcW w:type="dxa" w:w="600"/>
            <w:tcBorders>
              <w:top w:val="single" w:color="006666" w:sz="1"/>
              <w:left w:val="single" w:color="006666" w:sz="1"/>
              <w:bottom w:val="single" w:color="006666" w:sz="1"/>
              <w:right w:val="single" w:color="006666" w:sz="1"/>
            </w:tcBorders>
            <w:shd w:fill="00666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10</w:t>
            </w:r>
          </w:p>
        </w:tc>
        <w:tc>
          <w:tcPr>
            <w:tcW w:type="dxa" w:w="8760"/>
            <w:tcBorders>
              <w:top w:val="single" w:color="DDDDDD" w:sz="1"/>
              <w:left w:val="single" w:color="006666" w:sz="8"/>
              <w:bottom w:val="single" w:color="DDDDDD" w:sz="1"/>
              <w:right w:val="single" w:color="DDDDDD" w:sz="1"/>
            </w:tcBorders>
            <w:shd w:fill="E2EFEF"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MUST prohibit Learning Outcomes -- they are grade-bound milestones, not structural chapter-purpose determinants. The system MUST prohibit Pedagogy documents -- they govern instructional execution, not competency identification. The system MUST prohibit Syllabus documents -- they govern content scope and sequence, not cognitive transformation mapping. The system MUST prohibit Assessment Framework documents -- they govern evaluation design, not foundational competency identification.</w:t>
            </w:r>
          </w:p>
        </w:tc>
      </w:tr>
    </w:tbl>
    <w:p>
      <w:pPr>
        <w:spacing w:before="80" w:after="0"/>
      </w:pPr>
      <w:r>
        <w:t xml:space="preserve"/>
      </w:r>
    </w:p>
    <w:p>
      <w:pPr>
        <w:pBdr>
          <w:bottom w:val="single" w:color="006666" w:sz="3" w:space="1"/>
        </w:pBdr>
        <w:spacing w:before="120" w:after="120"/>
      </w:pPr>
      <w:r>
        <w:t xml:space="preserve"/>
      </w:r>
    </w:p>
    <w:p>
      <w:r>
        <w:br w:type="page"/>
      </w:r>
    </w:p>
    <w:p>
      <w:pPr>
        <w:spacing w:before="480" w:after="80"/>
      </w:pPr>
      <w:r>
        <w:rPr>
          <w:rFonts w:ascii="Arial" w:cs="Arial" w:eastAsia="Arial" w:hAnsi="Arial"/>
          <w:b/>
          <w:bCs/>
          <w:color w:val="2E75B6"/>
          <w:sz w:val="40"/>
          <w:szCs w:val="40"/>
        </w:rPr>
        <w:t xml:space="preserve">II.  Languages</w:t>
      </w:r>
    </w:p>
    <w:p>
      <w:pPr>
        <w:spacing w:before="0" w:after="60"/>
      </w:pPr>
      <w:r>
        <w:rPr>
          <w:rFonts w:ascii="Arial" w:cs="Arial" w:eastAsia="Arial" w:hAnsi="Arial"/>
          <w:i/>
          <w:iCs/>
          <w:color w:val="555555"/>
          <w:sz w:val="22"/>
          <w:szCs w:val="22"/>
        </w:rPr>
        <w:t xml:space="preserve">Process-bound language acts - Task clustering - Generative task identification - Recursive competency independence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2E75B6"/>
                <w:sz w:val="19"/>
                <w:szCs w:val="19"/>
              </w:rPr>
              <w:t xml:space="preserve">Subject Group: </w:t>
            </w:r>
            <w:r>
              <w:rPr>
                <w:rFonts w:ascii="Arial" w:cs="Arial" w:eastAsia="Arial" w:hAnsi="Arial"/>
                <w:sz w:val="19"/>
                <w:szCs w:val="19"/>
              </w:rPr>
              <w:t xml:space="preserve">languages</w:t>
            </w:r>
          </w:p>
        </w:tc>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2E75B6"/>
                <w:sz w:val="19"/>
                <w:szCs w:val="19"/>
              </w:rPr>
              <w:t xml:space="preserve">Stages: </w:t>
            </w:r>
            <w:r>
              <w:rPr>
                <w:rFonts w:ascii="Arial" w:cs="Arial" w:eastAsia="Arial" w:hAnsi="Arial"/>
                <w:sz w:val="19"/>
                <w:szCs w:val="19"/>
              </w:rPr>
              <w:t xml:space="preserve">Foundational - Preparatory - Middle - Secondary Stage</w:t>
            </w:r>
          </w:p>
        </w:tc>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2E75B6"/>
                <w:sz w:val="19"/>
                <w:szCs w:val="19"/>
              </w:rPr>
              <w:t xml:space="preserve">Task: </w:t>
            </w:r>
            <w:r>
              <w:rPr>
                <w:rFonts w:ascii="Arial" w:cs="Arial" w:eastAsia="Arial" w:hAnsi="Arial"/>
                <w:sz w:val="19"/>
                <w:szCs w:val="19"/>
              </w:rPr>
              <w:t xml:space="preserve">chapter_to_competency_mapping</w:t>
            </w:r>
          </w:p>
        </w:tc>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2E75B6"/>
                <w:sz w:val="19"/>
                <w:szCs w:val="19"/>
              </w:rPr>
              <w:t xml:space="preserve">Fetch Key: </w:t>
            </w:r>
            <w:r>
              <w:rPr>
                <w:rFonts w:ascii="Arial" w:cs="Arial" w:eastAsia="Arial" w:hAnsi="Arial"/>
                <w:sz w:val="19"/>
                <w:szCs w:val="19"/>
              </w:rPr>
              <w:t xml:space="preserve">competency_constitution_languages</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1</w:t>
            </w:r>
          </w:p>
        </w:tc>
        <w:tc>
          <w:tcPr>
            <w:tcW w:type="dxa" w:w="8760"/>
            <w:tcBorders>
              <w:top w:val="single" w:color="DDDDDD" w:sz="1"/>
              <w:left w:val="single" w:color="2E75B6" w:sz="8"/>
              <w:bottom w:val="single" w:color="DDDDDD" w:sz="1"/>
              <w:right w:val="single" w:color="DDDDDD" w:sz="1"/>
            </w:tcBorders>
            <w:shd w:fill="DEEAF1"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MUST initiate mapping of any Language chapter by analyzing the chapter's tasks, exercises, and activities to answer the primary inquiry: 'What specific language act is the student required to perform?</w:t>
            </w:r>
          </w:p>
        </w:tc>
      </w:tr>
      <w:tr>
        <w:tc>
          <w:tcPr>
            <w:tcW w:type="dxa" w:w="60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2</w:t>
            </w:r>
          </w:p>
        </w:tc>
        <w:tc>
          <w:tcPr>
            <w:tcW w:type="dxa" w:w="8760"/>
            <w:tcBorders>
              <w:top w:val="single" w:color="DDDDDD" w:sz="1"/>
              <w:left w:val="single" w:color="2E75B6" w:sz="8"/>
              <w:bottom w:val="single" w:color="DDDDDD" w:sz="1"/>
              <w:right w:val="single" w:color="DDDDDD" w:sz="1"/>
            </w:tcBorders>
            <w:shd w:fill="DEEAF1"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SHALL isolate process-bound requirements from content-bound themes, focusing strictly on required student actions rather than the subject matter of the prose, poetry, or text.</w:t>
            </w:r>
          </w:p>
        </w:tc>
      </w:tr>
      <w:tr>
        <w:tc>
          <w:tcPr>
            <w:tcW w:type="dxa" w:w="60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3</w:t>
            </w:r>
          </w:p>
        </w:tc>
        <w:tc>
          <w:tcPr>
            <w:tcW w:type="dxa" w:w="8760"/>
            <w:tcBorders>
              <w:top w:val="single" w:color="DDDDDD" w:sz="1"/>
              <w:left w:val="single" w:color="2E75B6" w:sz="8"/>
              <w:bottom w:val="single" w:color="DDDDDD" w:sz="1"/>
              <w:right w:val="single" w:color="DDDDDD" w:sz="1"/>
            </w:tcBorders>
            <w:shd w:fill="DEEAF1"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MUST match identified language acts to C-codes by verifying that the task structure explicitly demands the cognitive or communicative process defined by the C-code.</w:t>
            </w:r>
          </w:p>
        </w:tc>
      </w:tr>
      <w:tr>
        <w:tc>
          <w:tcPr>
            <w:tcW w:type="dxa" w:w="60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4</w:t>
            </w:r>
          </w:p>
        </w:tc>
        <w:tc>
          <w:tcPr>
            <w:tcW w:type="dxa" w:w="8760"/>
            <w:tcBorders>
              <w:top w:val="single" w:color="DDDDDD" w:sz="1"/>
              <w:left w:val="single" w:color="2E75B6" w:sz="8"/>
              <w:bottom w:val="single" w:color="DDDDDD" w:sz="1"/>
              <w:right w:val="single" w:color="DDDDDD" w:sz="1"/>
            </w:tcBorders>
            <w:shd w:fill="DEEAF1"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SHALL NOT use keyword or semantic matching of the chapter's text as sufficient evidence for a structural match to any C-code.</w:t>
            </w:r>
          </w:p>
        </w:tc>
      </w:tr>
      <w:tr>
        <w:tc>
          <w:tcPr>
            <w:tcW w:type="dxa" w:w="60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5</w:t>
            </w:r>
          </w:p>
        </w:tc>
        <w:tc>
          <w:tcPr>
            <w:tcW w:type="dxa" w:w="8760"/>
            <w:tcBorders>
              <w:top w:val="single" w:color="DDDDDD" w:sz="1"/>
              <w:left w:val="single" w:color="2E75B6" w:sz="8"/>
              <w:bottom w:val="single" w:color="DDDDDD" w:sz="1"/>
              <w:right w:val="single" w:color="DDDDDD" w:sz="1"/>
            </w:tcBorders>
            <w:shd w:fill="DEEAF1"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WILL assign Weight 3 to a C-code IF AND ONLY IF the chapter's generative tasks -- defined as tasks requiring the student to produce, synthesize, or independently apply language -- are primarily organised around this language act, such that removing this act would leave the chapter without a productive output.</w:t>
            </w:r>
          </w:p>
        </w:tc>
      </w:tr>
      <w:tr>
        <w:tc>
          <w:tcPr>
            <w:tcW w:type="dxa" w:w="60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6</w:t>
            </w:r>
          </w:p>
        </w:tc>
        <w:tc>
          <w:tcPr>
            <w:tcW w:type="dxa" w:w="8760"/>
            <w:tcBorders>
              <w:top w:val="single" w:color="DDDDDD" w:sz="1"/>
              <w:left w:val="single" w:color="2E75B6" w:sz="8"/>
              <w:bottom w:val="single" w:color="DDDDDD" w:sz="1"/>
              <w:right w:val="single" w:color="DDDDDD" w:sz="1"/>
            </w:tcBorders>
            <w:shd w:fill="DEEAF1"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WILL assign Weight 2 to a C-code IF AND ONLY IF task-type clustering confirms the chapter sustains this language act across multiple task types but shares the chapter's structural focus with other significant language acts, none of which constitutes a generative task alone.</w:t>
            </w:r>
          </w:p>
        </w:tc>
      </w:tr>
      <w:tr>
        <w:tc>
          <w:tcPr>
            <w:tcW w:type="dxa" w:w="60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7</w:t>
            </w:r>
          </w:p>
        </w:tc>
        <w:tc>
          <w:tcPr>
            <w:tcW w:type="dxa" w:w="8760"/>
            <w:tcBorders>
              <w:top w:val="single" w:color="DDDDDD" w:sz="1"/>
              <w:left w:val="single" w:color="2E75B6" w:sz="8"/>
              <w:bottom w:val="single" w:color="DDDDDD" w:sz="1"/>
              <w:right w:val="single" w:color="DDDDDD" w:sz="1"/>
            </w:tcBorders>
            <w:shd w:fill="DEEAF1"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WILL assign Weight 1 to a C-code IF AND ONLY IF at least one task explicitly instructs the student to perform this language act through a direct instruction -- write, discuss, identify, argue, retell -- but the act is not sustained across multiple tasks. The presence of content that invites a language act without an explicit task instruction does NOT satisfy Weight 1.</w:t>
            </w:r>
          </w:p>
        </w:tc>
      </w:tr>
      <w:tr>
        <w:tc>
          <w:tcPr>
            <w:tcW w:type="dxa" w:w="60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8</w:t>
            </w:r>
          </w:p>
        </w:tc>
        <w:tc>
          <w:tcPr>
            <w:tcW w:type="dxa" w:w="8760"/>
            <w:tcBorders>
              <w:top w:val="single" w:color="DDDDDD" w:sz="1"/>
              <w:left w:val="single" w:color="2E75B6" w:sz="8"/>
              <w:bottom w:val="single" w:color="DDDDDD" w:sz="1"/>
              <w:right w:val="single" w:color="DDDDDD" w:sz="1"/>
            </w:tcBorders>
            <w:shd w:fill="DEEAF1"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WILL classify a C-code as Incidental IF AND ONLY IF the language act could be performed on the chapter's content but no task explicitly instructs the student to do so.</w:t>
            </w:r>
          </w:p>
        </w:tc>
      </w:tr>
      <w:tr>
        <w:tc>
          <w:tcPr>
            <w:tcW w:type="dxa" w:w="60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9</w:t>
            </w:r>
          </w:p>
        </w:tc>
        <w:tc>
          <w:tcPr>
            <w:tcW w:type="dxa" w:w="8760"/>
            <w:tcBorders>
              <w:top w:val="single" w:color="DDDDDD" w:sz="1"/>
              <w:left w:val="single" w:color="2E75B6" w:sz="8"/>
              <w:bottom w:val="single" w:color="DDDDDD" w:sz="1"/>
              <w:right w:val="single" w:color="DDDDDD" w:sz="1"/>
            </w:tcBorders>
            <w:shd w:fill="DEEAF1" w:val="clear"/>
            <w:tcMar>
              <w:top w:type="dxa" w:w="120"/>
              <w:left w:type="dxa" w:w="160"/>
              <w:bottom w:type="dxa" w:w="120"/>
              <w:right w:type="dxa" w:w="160"/>
            </w:tcMar>
          </w:tcPr>
          <w:p>
            <w:pPr>
              <w:spacing w:before="40" w:after="40"/>
            </w:pPr>
            <w:r>
              <w:rPr>
                <w:rFonts w:ascii="Arial" w:cs="Arial" w:eastAsia="Arial" w:hAnsi="Arial"/>
                <w:sz w:val="21"/>
                <w:szCs w:val="21"/>
              </w:rPr>
              <w:t xml:space="preserve">In the event two C-codes satisfy the Weight 3 test equally, the system WILL assign Weight 3 to the C-code corresponding to the chapter's generative task requiring independent student production. If both correspond to generative tasks, Weight 3 is assigned to the C-code whose verb represents the more complex language act as defined in the C-code itself -- produce over identify, evaluate over describe, argue over retell. The second C-code receives Weight 2.</w:t>
            </w:r>
          </w:p>
        </w:tc>
      </w:tr>
      <w:tr>
        <w:tc>
          <w:tcPr>
            <w:tcW w:type="dxa" w:w="60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10</w:t>
            </w:r>
          </w:p>
        </w:tc>
        <w:tc>
          <w:tcPr>
            <w:tcW w:type="dxa" w:w="8760"/>
            <w:tcBorders>
              <w:top w:val="single" w:color="DDDDDD" w:sz="1"/>
              <w:left w:val="single" w:color="2E75B6" w:sz="8"/>
              <w:bottom w:val="single" w:color="DDDDDD" w:sz="1"/>
              <w:right w:val="single" w:color="DDDDDD" w:sz="1"/>
            </w:tcBorders>
            <w:shd w:fill="DEEAF1"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MUST evaluate every Language chapter as an independent standalone unit without referencing prior or subsequent chapter mappings, and WILL NOT inflate or deflate weights to compensate for the recursive nature of language competency development across the curriculum.</w:t>
            </w:r>
          </w:p>
        </w:tc>
      </w:tr>
      <w:tr>
        <w:tc>
          <w:tcPr>
            <w:tcW w:type="dxa" w:w="600"/>
            <w:tcBorders>
              <w:top w:val="single" w:color="2E75B6" w:sz="1"/>
              <w:left w:val="single" w:color="2E75B6" w:sz="1"/>
              <w:bottom w:val="single" w:color="2E75B6" w:sz="1"/>
              <w:right w:val="single" w:color="2E75B6" w:sz="1"/>
            </w:tcBorders>
            <w:shd w:fill="2E75B6"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11</w:t>
            </w:r>
          </w:p>
        </w:tc>
        <w:tc>
          <w:tcPr>
            <w:tcW w:type="dxa" w:w="8760"/>
            <w:tcBorders>
              <w:top w:val="single" w:color="DDDDDD" w:sz="1"/>
              <w:left w:val="single" w:color="2E75B6" w:sz="8"/>
              <w:bottom w:val="single" w:color="DDDDDD" w:sz="1"/>
              <w:right w:val="single" w:color="DDDDDD" w:sz="1"/>
            </w:tcBorders>
            <w:shd w:fill="DEEAF1"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MUST NOT reference Learning Outcomes -- grade-bound milestones, not structural chapter-purpose determinants. MUST NOT reference Pedagogy documents -- they govern instructional approach, not competency identification. MUST NOT reference Syllabus documents -- they define content scope, not structural coding. MUST NOT reference Position Papers -- they govern foundational philosophy, not specific competency mapping. MUST NOT reference Assessment Framework documents -- they govern stage-level assessment design, not individual chapter mapping.</w:t>
            </w:r>
          </w:p>
        </w:tc>
      </w:tr>
    </w:tbl>
    <w:p>
      <w:pPr>
        <w:spacing w:before="80" w:after="0"/>
      </w:pPr>
      <w:r>
        <w:t xml:space="preserve"/>
      </w:r>
    </w:p>
    <w:p>
      <w:pPr>
        <w:pBdr>
          <w:bottom w:val="single" w:color="2E75B6" w:sz="3" w:space="1"/>
        </w:pBdr>
        <w:spacing w:before="120" w:after="120"/>
      </w:pPr>
      <w:r>
        <w:t xml:space="preserve"/>
      </w:r>
    </w:p>
    <w:p>
      <w:r>
        <w:br w:type="page"/>
      </w:r>
    </w:p>
    <w:p>
      <w:pPr>
        <w:spacing w:before="480" w:after="80"/>
      </w:pPr>
      <w:r>
        <w:rPr>
          <w:rFonts w:ascii="Arial" w:cs="Arial" w:eastAsia="Arial" w:hAnsi="Arial"/>
          <w:b/>
          <w:bCs/>
          <w:color w:val="7B3F00"/>
          <w:sz w:val="40"/>
          <w:szCs w:val="40"/>
        </w:rPr>
        <w:t xml:space="preserve">III.  Mathematics</w:t>
      </w:r>
    </w:p>
    <w:p>
      <w:pPr>
        <w:spacing w:before="0" w:after="60"/>
      </w:pPr>
      <w:r>
        <w:rPr>
          <w:rFonts w:ascii="Arial" w:cs="Arial" w:eastAsia="Arial" w:hAnsi="Arial"/>
          <w:i/>
          <w:iCs/>
          <w:color w:val="555555"/>
          <w:sz w:val="22"/>
          <w:szCs w:val="22"/>
        </w:rPr>
        <w:t xml:space="preserve">Exercise progression architecture - Built target vs infrastructure distinction - Single-chapter isolation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7B3F00"/>
                <w:sz w:val="19"/>
                <w:szCs w:val="19"/>
              </w:rPr>
              <w:t xml:space="preserve">Subject Group: </w:t>
            </w:r>
            <w:r>
              <w:rPr>
                <w:rFonts w:ascii="Arial" w:cs="Arial" w:eastAsia="Arial" w:hAnsi="Arial"/>
                <w:sz w:val="19"/>
                <w:szCs w:val="19"/>
              </w:rPr>
              <w:t xml:space="preserve">mathematics</w:t>
            </w:r>
          </w:p>
        </w:tc>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7B3F00"/>
                <w:sz w:val="19"/>
                <w:szCs w:val="19"/>
              </w:rPr>
              <w:t xml:space="preserve">Stages: </w:t>
            </w:r>
            <w:r>
              <w:rPr>
                <w:rFonts w:ascii="Arial" w:cs="Arial" w:eastAsia="Arial" w:hAnsi="Arial"/>
                <w:sz w:val="19"/>
                <w:szCs w:val="19"/>
              </w:rPr>
              <w:t xml:space="preserve">Middle Stage - Secondary Stage</w:t>
            </w:r>
          </w:p>
        </w:tc>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7B3F00"/>
                <w:sz w:val="19"/>
                <w:szCs w:val="19"/>
              </w:rPr>
              <w:t xml:space="preserve">Task: </w:t>
            </w:r>
            <w:r>
              <w:rPr>
                <w:rFonts w:ascii="Arial" w:cs="Arial" w:eastAsia="Arial" w:hAnsi="Arial"/>
                <w:sz w:val="19"/>
                <w:szCs w:val="19"/>
              </w:rPr>
              <w:t xml:space="preserve">chapter_to_competency_mapping</w:t>
            </w:r>
          </w:p>
        </w:tc>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7B3F00"/>
                <w:sz w:val="19"/>
                <w:szCs w:val="19"/>
              </w:rPr>
              <w:t xml:space="preserve">Fetch Key: </w:t>
            </w:r>
            <w:r>
              <w:rPr>
                <w:rFonts w:ascii="Arial" w:cs="Arial" w:eastAsia="Arial" w:hAnsi="Arial"/>
                <w:sz w:val="19"/>
                <w:szCs w:val="19"/>
              </w:rPr>
              <w:t xml:space="preserve">competency_constitution_mathematics</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B3F00" w:sz="1"/>
              <w:left w:val="single" w:color="7B3F00" w:sz="1"/>
              <w:bottom w:val="single" w:color="7B3F00" w:sz="1"/>
              <w:right w:val="single" w:color="7B3F00" w:sz="1"/>
            </w:tcBorders>
            <w:shd w:fill="7B3F00"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1</w:t>
            </w:r>
          </w:p>
        </w:tc>
        <w:tc>
          <w:tcPr>
            <w:tcW w:type="dxa" w:w="8760"/>
            <w:tcBorders>
              <w:top w:val="single" w:color="DDDDDD" w:sz="1"/>
              <w:left w:val="single" w:color="7B3F00" w:sz="8"/>
              <w:bottom w:val="single" w:color="DDDDDD" w:sz="1"/>
              <w:right w:val="single" w:color="DDDDDD" w:sz="1"/>
            </w:tcBorders>
            <w:shd w:fill="FDE9D9"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SHALL conduct a primary inquiry evaluating the chapter's exercise and application architecture in absolute isolation to answer two sequential structural questions. First, the system MUST identify the distinct new cognitive mathematical operation that the graded exercise set explicitly builds through progressive steps. Second, the system MUST identify prior mathematical operations that the exercises require the student to execute as foundational tools, confirmed structurally by their presence in exercises without corresponding instruction, worked examples, or graded progression within this chapter.</w:t>
            </w:r>
          </w:p>
        </w:tc>
      </w:tr>
      <w:tr>
        <w:tc>
          <w:tcPr>
            <w:tcW w:type="dxa" w:w="600"/>
            <w:tcBorders>
              <w:top w:val="single" w:color="7B3F00" w:sz="1"/>
              <w:left w:val="single" w:color="7B3F00" w:sz="1"/>
              <w:bottom w:val="single" w:color="7B3F00" w:sz="1"/>
              <w:right w:val="single" w:color="7B3F00" w:sz="1"/>
            </w:tcBorders>
            <w:shd w:fill="7B3F00"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2</w:t>
            </w:r>
          </w:p>
        </w:tc>
        <w:tc>
          <w:tcPr>
            <w:tcW w:type="dxa" w:w="8760"/>
            <w:tcBorders>
              <w:top w:val="single" w:color="DDDDDD" w:sz="1"/>
              <w:left w:val="single" w:color="7B3F00" w:sz="8"/>
              <w:bottom w:val="single" w:color="DDDDDD" w:sz="1"/>
              <w:right w:val="single" w:color="DDDDDD" w:sz="1"/>
            </w:tcBorders>
            <w:shd w:fill="FDE9D9" w:val="clear"/>
            <w:tcMar>
              <w:top w:type="dxa" w:w="120"/>
              <w:left w:type="dxa" w:w="160"/>
              <w:bottom w:type="dxa" w:w="120"/>
              <w:right w:type="dxa" w:w="160"/>
            </w:tcMar>
          </w:tcPr>
          <w:p>
            <w:pPr>
              <w:spacing w:before="40" w:after="40"/>
            </w:pPr>
            <w:r>
              <w:rPr>
                <w:rFonts w:ascii="Arial" w:cs="Arial" w:eastAsia="Arial" w:hAnsi="Arial"/>
                <w:sz w:val="21"/>
                <w:szCs w:val="21"/>
              </w:rPr>
              <w:t xml:space="preserve">To establish a structural match between the identified new cognitive operation and a C-code, the system SHALL strictly prohibit keyword or semantic matching. The system MUST map the cognitive operation's peak complexity -- as demonstrated in the chapter's most advanced exploratory or application problems -- to the specific stage-level demands of the Curricular Goals document. The system WILL confirm the match only if the chapter's peak exercise complexity structurally aligns with the C-code's explicit mathematical requirements for that stage, ensuring no confusion with superficially similar C-codes from other stages.</w:t>
            </w:r>
          </w:p>
        </w:tc>
      </w:tr>
      <w:tr>
        <w:tc>
          <w:tcPr>
            <w:tcW w:type="dxa" w:w="600"/>
            <w:tcBorders>
              <w:top w:val="single" w:color="7B3F00" w:sz="1"/>
              <w:left w:val="single" w:color="7B3F00" w:sz="1"/>
              <w:bottom w:val="single" w:color="7B3F00" w:sz="1"/>
              <w:right w:val="single" w:color="7B3F00" w:sz="1"/>
            </w:tcBorders>
            <w:shd w:fill="7B3F00"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3</w:t>
            </w:r>
          </w:p>
        </w:tc>
        <w:tc>
          <w:tcPr>
            <w:tcW w:type="dxa" w:w="8760"/>
            <w:tcBorders>
              <w:top w:val="single" w:color="DDDDDD" w:sz="1"/>
              <w:left w:val="single" w:color="7B3F00" w:sz="8"/>
              <w:bottom w:val="single" w:color="DDDDDD" w:sz="1"/>
              <w:right w:val="single" w:color="DDDDDD" w:sz="1"/>
            </w:tcBorders>
            <w:shd w:fill="FDE9D9"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MUST execute the following pass/fail structural weight tests based solely on the chapter's internal exercise architecture, strictly treating concept introductions and worked examples as scaffolding only -- not as evidence of weight. Weight 3: assigned if and only if the chapter's application and exploratory problems at peak complexity cannot be attempted without this competency as the primary cognitive operation -- the competency is not a tool used to reach the answer but is itself the operation the problem is designed to exercise. Weight 2: assigned if and only if the exercise sets provide a dedicated graded progression for this competency that builds it distinctly, confirming it is genuinely built alongside the Weight 3 competency rather than scaffolding toward it. Weight 1: assigned if and only if the competency is introduced or developed only within isolated exercises or brief activities, confirming its presence but proving it is not a primary or substantive building target. Infrastructure threshold: zero weight when an operation is required to solve the chapter's exercises but receives no direct instruction or developmental progression within this chapter -- if exercises demand flawless execution from the outset merely to access the new material, that operation is infrastructure regardless of its origin.</w:t>
            </w:r>
          </w:p>
        </w:tc>
      </w:tr>
      <w:tr>
        <w:tc>
          <w:tcPr>
            <w:tcW w:type="dxa" w:w="600"/>
            <w:tcBorders>
              <w:top w:val="single" w:color="7B3F00" w:sz="1"/>
              <w:left w:val="single" w:color="7B3F00" w:sz="1"/>
              <w:bottom w:val="single" w:color="7B3F00" w:sz="1"/>
              <w:right w:val="single" w:color="7B3F00" w:sz="1"/>
            </w:tcBorders>
            <w:shd w:fill="7B3F00"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4</w:t>
            </w:r>
          </w:p>
        </w:tc>
        <w:tc>
          <w:tcPr>
            <w:tcW w:type="dxa" w:w="8760"/>
            <w:tcBorders>
              <w:top w:val="single" w:color="DDDDDD" w:sz="1"/>
              <w:left w:val="single" w:color="7B3F00" w:sz="8"/>
              <w:bottom w:val="single" w:color="DDDDDD" w:sz="1"/>
              <w:right w:val="single" w:color="DDDDDD" w:sz="1"/>
            </w:tcBorders>
            <w:shd w:fill="FDE9D9" w:val="clear"/>
            <w:tcMar>
              <w:top w:type="dxa" w:w="120"/>
              <w:left w:type="dxa" w:w="160"/>
              <w:bottom w:type="dxa" w:w="120"/>
              <w:right w:type="dxa" w:w="160"/>
            </w:tcMar>
          </w:tcPr>
          <w:p>
            <w:pPr>
              <w:spacing w:before="40" w:after="40"/>
            </w:pPr>
            <w:r>
              <w:rPr>
                <w:rFonts w:ascii="Arial" w:cs="Arial" w:eastAsia="Arial" w:hAnsi="Arial"/>
                <w:sz w:val="21"/>
                <w:szCs w:val="21"/>
              </w:rPr>
              <w:t xml:space="preserve">In the event two C-codes appear to satisfy the Weight 3 test simultaneously, the system MUST first re-examine whether one competency is reducible to a tool for the other at peak exercise complexity. If one is reducible, it receives Weight 2 and the other retains Weight 3. If both remain irreducible -- neither can be classified as a tool for the other -- both receive Weight 2 and no Weight 3 is assigned for this chapter.</w:t>
            </w:r>
          </w:p>
        </w:tc>
      </w:tr>
      <w:tr>
        <w:tc>
          <w:tcPr>
            <w:tcW w:type="dxa" w:w="600"/>
            <w:tcBorders>
              <w:top w:val="single" w:color="7B3F00" w:sz="1"/>
              <w:left w:val="single" w:color="7B3F00" w:sz="1"/>
              <w:bottom w:val="single" w:color="7B3F00" w:sz="1"/>
              <w:right w:val="single" w:color="7B3F00" w:sz="1"/>
            </w:tcBorders>
            <w:shd w:fill="7B3F00"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5</w:t>
            </w:r>
          </w:p>
        </w:tc>
        <w:tc>
          <w:tcPr>
            <w:tcW w:type="dxa" w:w="8760"/>
            <w:tcBorders>
              <w:top w:val="single" w:color="DDDDDD" w:sz="1"/>
              <w:left w:val="single" w:color="7B3F00" w:sz="8"/>
              <w:bottom w:val="single" w:color="DDDDDD" w:sz="1"/>
              <w:right w:val="single" w:color="DDDDDD" w:sz="1"/>
            </w:tcBorders>
            <w:shd w:fill="FDE9D9"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MUST apply the Mathematics Boundary Rule to distinguish built targets from infrastructural tools using only this chapter's graded exercise progression. The system SHALL classify a mathematical operation as a built target only if this chapter's exercises provide explicit step-by-step graded developmental progression for it. If the exercises demand the operation's execution from the outset without instruction or progression, the system MUST classify it as infrastructure and assign zero weight. This determination requires no knowledge of curriculum sequence -- it is made entirely from within this chapter's exercise architecture.</w:t>
            </w:r>
          </w:p>
        </w:tc>
      </w:tr>
      <w:tr>
        <w:tc>
          <w:tcPr>
            <w:tcW w:type="dxa" w:w="600"/>
            <w:tcBorders>
              <w:top w:val="single" w:color="7B3F00" w:sz="1"/>
              <w:left w:val="single" w:color="7B3F00" w:sz="1"/>
              <w:bottom w:val="single" w:color="7B3F00" w:sz="1"/>
              <w:right w:val="single" w:color="7B3F00" w:sz="1"/>
            </w:tcBorders>
            <w:shd w:fill="7B3F00"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6</w:t>
            </w:r>
          </w:p>
        </w:tc>
        <w:tc>
          <w:tcPr>
            <w:tcW w:type="dxa" w:w="8760"/>
            <w:tcBorders>
              <w:top w:val="single" w:color="DDDDDD" w:sz="1"/>
              <w:left w:val="single" w:color="7B3F00" w:sz="8"/>
              <w:bottom w:val="single" w:color="DDDDDD" w:sz="1"/>
              <w:right w:val="single" w:color="DDDDDD" w:sz="1"/>
            </w:tcBorders>
            <w:shd w:fill="FDE9D9"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MUST strictly prohibit the following out-of-scope documents. Learning Outcomes: prohibited because they are grade-bound milestones that bypass the structural analysis of exercise architecture required to determine mathematical competency targets. Pedagogy documents: prohibited because instructional strategies provide no observable structural evidence of the cognitive operations demanded by the chapter's exercise sets. Syllabus documents: prohibited because sequential topic lists introduce curriculum sequence knowledge that violates the constraint of mapping each chapter in complete isolation. Position Papers: prohibited because mathematical philosophy cannot serve as a pass/fail structural weight test within a specific chapter's exercise architecture. Assessment Framework documents: prohibited because summative evaluation design is structurally distinct from identifying what a chapter's exercise architecture is built to develop.</w:t>
            </w:r>
          </w:p>
        </w:tc>
      </w:tr>
    </w:tbl>
    <w:p>
      <w:pPr>
        <w:spacing w:before="80" w:after="0"/>
      </w:pPr>
      <w:r>
        <w:t xml:space="preserve"/>
      </w:r>
    </w:p>
    <w:p>
      <w:pPr>
        <w:pBdr>
          <w:bottom w:val="single" w:color="7B3F00" w:sz="3" w:space="1"/>
        </w:pBdr>
        <w:spacing w:before="120" w:after="120"/>
      </w:pPr>
      <w:r>
        <w:t xml:space="preserve"/>
      </w:r>
    </w:p>
    <w:p>
      <w:r>
        <w:br w:type="page"/>
      </w:r>
    </w:p>
    <w:p>
      <w:pPr>
        <w:spacing w:before="480" w:after="80"/>
      </w:pPr>
      <w:r>
        <w:rPr>
          <w:rFonts w:ascii="Arial" w:cs="Arial" w:eastAsia="Arial" w:hAnsi="Arial"/>
          <w:b/>
          <w:bCs/>
          <w:color w:val="1D4E1D"/>
          <w:sz w:val="40"/>
          <w:szCs w:val="40"/>
        </w:rPr>
        <w:t xml:space="preserve">IV.  Science</w:t>
      </w:r>
    </w:p>
    <w:p>
      <w:pPr>
        <w:spacing w:before="0" w:after="60"/>
      </w:pPr>
      <w:r>
        <w:rPr>
          <w:rFonts w:ascii="Arial" w:cs="Arial" w:eastAsia="Arial" w:hAnsi="Arial"/>
          <w:i/>
          <w:iCs/>
          <w:color w:val="555555"/>
          <w:sz w:val="22"/>
          <w:szCs w:val="22"/>
        </w:rPr>
        <w:t xml:space="preserve">Three competency types - Developmental vs descriptive layer - Investigative competency boundary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1D4E1D"/>
                <w:sz w:val="19"/>
                <w:szCs w:val="19"/>
              </w:rPr>
              <w:t xml:space="preserve">Subject Group: </w:t>
            </w:r>
            <w:r>
              <w:rPr>
                <w:rFonts w:ascii="Arial" w:cs="Arial" w:eastAsia="Arial" w:hAnsi="Arial"/>
                <w:sz w:val="19"/>
                <w:szCs w:val="19"/>
              </w:rPr>
              <w:t xml:space="preserve">science</w:t>
            </w:r>
          </w:p>
        </w:tc>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1D4E1D"/>
                <w:sz w:val="19"/>
                <w:szCs w:val="19"/>
              </w:rPr>
              <w:t xml:space="preserve">Stages: </w:t>
            </w:r>
            <w:r>
              <w:rPr>
                <w:rFonts w:ascii="Arial" w:cs="Arial" w:eastAsia="Arial" w:hAnsi="Arial"/>
                <w:sz w:val="19"/>
                <w:szCs w:val="19"/>
              </w:rPr>
              <w:t xml:space="preserve">Middle Stage - Secondary Stage</w:t>
            </w:r>
          </w:p>
        </w:tc>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1D4E1D"/>
                <w:sz w:val="19"/>
                <w:szCs w:val="19"/>
              </w:rPr>
              <w:t xml:space="preserve">Task: </w:t>
            </w:r>
            <w:r>
              <w:rPr>
                <w:rFonts w:ascii="Arial" w:cs="Arial" w:eastAsia="Arial" w:hAnsi="Arial"/>
                <w:sz w:val="19"/>
                <w:szCs w:val="19"/>
              </w:rPr>
              <w:t xml:space="preserve">chapter_to_competency_mapping</w:t>
            </w:r>
          </w:p>
        </w:tc>
        <w:tc>
          <w:tcPr>
            <w:tcBorders>
              <w:top w:val="none" w:color="FFFFFF" w:sz="0"/>
              <w:left w:val="none" w:color="FFFFFF" w:sz="0"/>
              <w:bottom w:val="none" w:color="FFFFFF" w:sz="0"/>
              <w:right w:val="none" w:color="FFFFFF" w:sz="0"/>
            </w:tcBorders>
            <w:shd w:fill="F0F0F0" w:val="clear"/>
            <w:tcMar>
              <w:top w:type="dxa" w:w="60"/>
              <w:left w:type="dxa" w:w="120"/>
              <w:bottom w:type="dxa" w:w="60"/>
              <w:right w:type="dxa" w:w="120"/>
            </w:tcMar>
          </w:tcPr>
          <w:p>
            <w:r>
              <w:rPr>
                <w:rFonts w:ascii="Arial" w:cs="Arial" w:eastAsia="Arial" w:hAnsi="Arial"/>
                <w:b/>
                <w:bCs/>
                <w:color w:val="1D4E1D"/>
                <w:sz w:val="19"/>
                <w:szCs w:val="19"/>
              </w:rPr>
              <w:t xml:space="preserve">Fetch Key: </w:t>
            </w:r>
            <w:r>
              <w:rPr>
                <w:rFonts w:ascii="Arial" w:cs="Arial" w:eastAsia="Arial" w:hAnsi="Arial"/>
                <w:sz w:val="19"/>
                <w:szCs w:val="19"/>
              </w:rPr>
              <w:t xml:space="preserve">competency_constitution_science</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D4E1D" w:sz="1"/>
              <w:left w:val="single" w:color="1D4E1D" w:sz="1"/>
              <w:bottom w:val="single" w:color="1D4E1D" w:sz="1"/>
              <w:right w:val="single" w:color="1D4E1D" w:sz="1"/>
            </w:tcBorders>
            <w:shd w:fill="1D4E1D"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1</w:t>
            </w:r>
          </w:p>
        </w:tc>
        <w:tc>
          <w:tcPr>
            <w:tcW w:type="dxa" w:w="8760"/>
            <w:tcBorders>
              <w:top w:val="single" w:color="DDDDDD" w:sz="1"/>
              <w:left w:val="single" w:color="1D4E1D" w:sz="8"/>
              <w:bottom w:val="single" w:color="DDDDDD" w:sz="1"/>
              <w:right w:val="single" w:color="DDDDDD" w:sz="1"/>
            </w:tcBorders>
            <w:shd w:fill="E8F4E8"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SHALL conduct a primary inquiry on the isolated chapter before consulting any NCF Curricular Goals document by answering the following structured question based exclusively on the chapter's developmental layer -- exercises, activities, and laboratory tasks: What specific conceptual operation do the exercises require the student to actively perform; what specific procedural operation do the activities or laboratory tasks require the student to execute; and what specific investigative operation do the tasks require the student to generate or analyse rather than merely observe?</w:t>
            </w:r>
          </w:p>
        </w:tc>
      </w:tr>
      <w:tr>
        <w:tc>
          <w:tcPr>
            <w:tcW w:type="dxa" w:w="600"/>
            <w:tcBorders>
              <w:top w:val="single" w:color="1D4E1D" w:sz="1"/>
              <w:left w:val="single" w:color="1D4E1D" w:sz="1"/>
              <w:bottom w:val="single" w:color="1D4E1D" w:sz="1"/>
              <w:right w:val="single" w:color="1D4E1D" w:sz="1"/>
            </w:tcBorders>
            <w:shd w:fill="1D4E1D"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2</w:t>
            </w:r>
          </w:p>
        </w:tc>
        <w:tc>
          <w:tcPr>
            <w:tcW w:type="dxa" w:w="8760"/>
            <w:tcBorders>
              <w:top w:val="single" w:color="DDDDDD" w:sz="1"/>
              <w:left w:val="single" w:color="1D4E1D" w:sz="8"/>
              <w:bottom w:val="single" w:color="DDDDDD" w:sz="1"/>
              <w:right w:val="single" w:color="DDDDDD" w:sz="1"/>
            </w:tcBorders>
            <w:shd w:fill="E8F4E8" w:val="clear"/>
            <w:tcMar>
              <w:top w:type="dxa" w:w="120"/>
              <w:left w:type="dxa" w:w="160"/>
              <w:bottom w:type="dxa" w:w="120"/>
              <w:right w:type="dxa" w:w="160"/>
            </w:tcMar>
          </w:tcPr>
          <w:p>
            <w:pPr>
              <w:spacing w:before="40" w:after="40"/>
            </w:pPr>
            <w:r>
              <w:rPr>
                <w:rFonts w:ascii="Arial" w:cs="Arial" w:eastAsia="Arial" w:hAnsi="Arial"/>
                <w:sz w:val="21"/>
                <w:szCs w:val="21"/>
              </w:rPr>
              <w:t xml:space="preserve">To establish a structural match, the system MUST categorise the identified developmental operations as conceptual, procedural, or investigative, and verify that the active requirement of the chapter's developmental tasks structurally mirrors the verb and operational demand of the stage-level C-code. The system SHALL NOT permit keyword or semantic matching as sufficient evidence for any match or weight assignment.</w:t>
            </w:r>
          </w:p>
        </w:tc>
      </w:tr>
      <w:tr>
        <w:tc>
          <w:tcPr>
            <w:tcW w:type="dxa" w:w="600"/>
            <w:tcBorders>
              <w:top w:val="single" w:color="1D4E1D" w:sz="1"/>
              <w:left w:val="single" w:color="1D4E1D" w:sz="1"/>
              <w:bottom w:val="single" w:color="1D4E1D" w:sz="1"/>
              <w:right w:val="single" w:color="1D4E1D" w:sz="1"/>
            </w:tcBorders>
            <w:shd w:fill="1D4E1D"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3</w:t>
            </w:r>
          </w:p>
        </w:tc>
        <w:tc>
          <w:tcPr>
            <w:tcW w:type="dxa" w:w="8760"/>
            <w:tcBorders>
              <w:top w:val="single" w:color="DDDDDD" w:sz="1"/>
              <w:left w:val="single" w:color="1D4E1D" w:sz="8"/>
              <w:bottom w:val="single" w:color="DDDDDD" w:sz="1"/>
              <w:right w:val="single" w:color="DDDDDD" w:sz="1"/>
            </w:tcBorders>
            <w:shd w:fill="E8F4E8"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SHALL assign weights based strictly on the following pass/fail structural conditions evaluated against the chapter's developmental layer alone. Weight 3: assigned only if the competency is the primary building target -- for conceptual competencies: the chapter's most complex exercises require the student to apply the concept to unfamiliar situations or explain causal relationships and cannot be attempted without this competency as the primary cognitive operation; for procedural competencies: the core activities require physical execution of the specific technique as the primary student act; for investigative competencies: the culminating tasks require independent hypothesis formulation or evidence interpretation. Weight 2: assigned only if the competency is genuinely built through dedicated developmental tasks but structurally shares the developmental layer with another equally significant primary target, and does not merely scaffold toward a different goal. Weight 1: assigned only if the competency is actively demanded by at least one exercise or activity in the developmental layer but is structurally isolated and not a substantive building target. Infrastructure threshold: zero weight when a concept appears in the developmental layer but receives no instruction or progression within this chapter. Descriptive context threshold: zero weight when a concept appears only in explanatory text, diagrams, or examples and makes no appearance in any exercise, activity, or laboratory task. The system MUST distinguish these two: infrastructure is present in the developmental layer but not built; descriptive context is absent from the developmental layer entirely.</w:t>
            </w:r>
          </w:p>
        </w:tc>
      </w:tr>
      <w:tr>
        <w:tc>
          <w:tcPr>
            <w:tcW w:type="dxa" w:w="600"/>
            <w:tcBorders>
              <w:top w:val="single" w:color="1D4E1D" w:sz="1"/>
              <w:left w:val="single" w:color="1D4E1D" w:sz="1"/>
              <w:bottom w:val="single" w:color="1D4E1D" w:sz="1"/>
              <w:right w:val="single" w:color="1D4E1D" w:sz="1"/>
            </w:tcBorders>
            <w:shd w:fill="1D4E1D"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4</w:t>
            </w:r>
          </w:p>
        </w:tc>
        <w:tc>
          <w:tcPr>
            <w:tcW w:type="dxa" w:w="8760"/>
            <w:tcBorders>
              <w:top w:val="single" w:color="DDDDDD" w:sz="1"/>
              <w:left w:val="single" w:color="1D4E1D" w:sz="8"/>
              <w:bottom w:val="single" w:color="DDDDDD" w:sz="1"/>
              <w:right w:val="single" w:color="DDDDDD" w:sz="1"/>
            </w:tcBorders>
            <w:shd w:fill="E8F4E8" w:val="clear"/>
            <w:tcMar>
              <w:top w:type="dxa" w:w="120"/>
              <w:left w:type="dxa" w:w="160"/>
              <w:bottom w:type="dxa" w:w="120"/>
              <w:right w:type="dxa" w:w="160"/>
            </w:tcMar>
          </w:tcPr>
          <w:p>
            <w:pPr>
              <w:spacing w:before="40" w:after="40"/>
            </w:pPr>
            <w:r>
              <w:rPr>
                <w:rFonts w:ascii="Arial" w:cs="Arial" w:eastAsia="Arial" w:hAnsi="Arial"/>
                <w:sz w:val="21"/>
                <w:szCs w:val="21"/>
              </w:rPr>
              <w:t xml:space="preserve">When two C-codes satisfy the Weight 3 condition equally, the system SHALL apply a tie-break by evaluating the most structurally complex exercises or culminating investigative tasks in the developmental layer. The C-code governing the highest-complexity task receives Weight 3. If the most complex tasks divide demands equally or no single task structurally supersedes the others, the tie-break fails and the system SHALL NOT assign Weight 3 to either C-code -- both receive Weight 2.</w:t>
            </w:r>
          </w:p>
        </w:tc>
      </w:tr>
      <w:tr>
        <w:tc>
          <w:tcPr>
            <w:tcW w:type="dxa" w:w="600"/>
            <w:tcBorders>
              <w:top w:val="single" w:color="1D4E1D" w:sz="1"/>
              <w:left w:val="single" w:color="1D4E1D" w:sz="1"/>
              <w:bottom w:val="single" w:color="1D4E1D" w:sz="1"/>
              <w:right w:val="single" w:color="1D4E1D" w:sz="1"/>
            </w:tcBorders>
            <w:shd w:fill="1D4E1D"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5</w:t>
            </w:r>
          </w:p>
        </w:tc>
        <w:tc>
          <w:tcPr>
            <w:tcW w:type="dxa" w:w="8760"/>
            <w:tcBorders>
              <w:top w:val="single" w:color="DDDDDD" w:sz="1"/>
              <w:left w:val="single" w:color="1D4E1D" w:sz="8"/>
              <w:bottom w:val="single" w:color="DDDDDD" w:sz="1"/>
              <w:right w:val="single" w:color="DDDDDD" w:sz="1"/>
            </w:tcBorders>
            <w:shd w:fill="E8F4E8" w:val="clear"/>
            <w:tcMar>
              <w:top w:type="dxa" w:w="120"/>
              <w:left w:type="dxa" w:w="160"/>
              <w:bottom w:type="dxa" w:w="120"/>
              <w:right w:type="dxa" w:w="160"/>
            </w:tcMar>
          </w:tcPr>
          <w:p>
            <w:pPr>
              <w:spacing w:before="40" w:after="40"/>
            </w:pPr>
            <w:r>
              <w:rPr>
                <w:rFonts w:ascii="Arial" w:cs="Arial" w:eastAsia="Arial" w:hAnsi="Arial"/>
                <w:sz w:val="21"/>
                <w:szCs w:val="21"/>
              </w:rPr>
              <w:t xml:space="preserve">When the developmental layer confirms competencies of more than one type -- conceptual, procedural, investigative -- the system MUST apply weight tests independently for each type but MUST NOT assign Weight 3 to more than one competency across all types. If Weight 3 tests are satisfied for more than one type, the system MUST apply the tie-break in directive 4 across types. When complexity cannot otherwise differentiate, investigative tasks requiring independent design or interpretation SHALL be treated as structurally superior to procedural tasks; procedural tasks requiring independent execution SHALL be treated as structurally superior to conceptual recall tasks.</w:t>
            </w:r>
          </w:p>
        </w:tc>
      </w:tr>
      <w:tr>
        <w:tc>
          <w:tcPr>
            <w:tcW w:type="dxa" w:w="600"/>
            <w:tcBorders>
              <w:top w:val="single" w:color="1D4E1D" w:sz="1"/>
              <w:left w:val="single" w:color="1D4E1D" w:sz="1"/>
              <w:bottom w:val="single" w:color="1D4E1D" w:sz="1"/>
              <w:right w:val="single" w:color="1D4E1D" w:sz="1"/>
            </w:tcBorders>
            <w:shd w:fill="1D4E1D"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6</w:t>
            </w:r>
          </w:p>
        </w:tc>
        <w:tc>
          <w:tcPr>
            <w:tcW w:type="dxa" w:w="8760"/>
            <w:tcBorders>
              <w:top w:val="single" w:color="DDDDDD" w:sz="1"/>
              <w:left w:val="single" w:color="1D4E1D" w:sz="8"/>
              <w:bottom w:val="single" w:color="DDDDDD" w:sz="1"/>
              <w:right w:val="single" w:color="DDDDDD" w:sz="1"/>
            </w:tcBorders>
            <w:shd w:fill="E8F4E8" w:val="clear"/>
            <w:tcMar>
              <w:top w:type="dxa" w:w="120"/>
              <w:left w:type="dxa" w:w="160"/>
              <w:bottom w:type="dxa" w:w="120"/>
              <w:right w:type="dxa" w:w="160"/>
            </w:tcMar>
          </w:tcPr>
          <w:p>
            <w:pPr>
              <w:spacing w:before="40" w:after="40"/>
            </w:pPr>
            <w:r>
              <w:rPr>
                <w:rFonts w:ascii="Arial" w:cs="Arial" w:eastAsia="Arial" w:hAnsi="Arial"/>
                <w:sz w:val="21"/>
                <w:szCs w:val="21"/>
              </w:rPr>
              <w:t xml:space="preserve">For investigative competencies specifically, the system MUST enforce this boundary rule: an investigative competency SHALL receive weight ONLY IF the chapter's tasks explicitly require the student to independently conduct, design, or interpret an investigation. Descriptive text detailing an experiment, or exercises requiring only recall of steps or outcomes of a described experiment, SHALL NOT satisfy the structural condition for any investigative competency weight.</w:t>
            </w:r>
          </w:p>
        </w:tc>
      </w:tr>
      <w:tr>
        <w:tc>
          <w:tcPr>
            <w:tcW w:type="dxa" w:w="600"/>
            <w:tcBorders>
              <w:top w:val="single" w:color="1D4E1D" w:sz="1"/>
              <w:left w:val="single" w:color="1D4E1D" w:sz="1"/>
              <w:bottom w:val="single" w:color="1D4E1D" w:sz="1"/>
              <w:right w:val="single" w:color="1D4E1D" w:sz="1"/>
            </w:tcBorders>
            <w:shd w:fill="1D4E1D"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7</w:t>
            </w:r>
          </w:p>
        </w:tc>
        <w:tc>
          <w:tcPr>
            <w:tcW w:type="dxa" w:w="8760"/>
            <w:tcBorders>
              <w:top w:val="single" w:color="DDDDDD" w:sz="1"/>
              <w:left w:val="single" w:color="1D4E1D" w:sz="8"/>
              <w:bottom w:val="single" w:color="DDDDDD" w:sz="1"/>
              <w:right w:val="single" w:color="DDDDDD" w:sz="1"/>
            </w:tcBorders>
            <w:shd w:fill="E8F4E8" w:val="clear"/>
            <w:tcMar>
              <w:top w:type="dxa" w:w="120"/>
              <w:left w:type="dxa" w:w="160"/>
              <w:bottom w:type="dxa" w:w="120"/>
              <w:right w:type="dxa" w:w="160"/>
            </w:tcMar>
          </w:tcPr>
          <w:p>
            <w:pPr>
              <w:spacing w:before="40" w:after="40"/>
            </w:pPr>
            <w:r>
              <w:rPr>
                <w:rFonts w:ascii="Arial" w:cs="Arial" w:eastAsia="Arial" w:hAnsi="Arial"/>
                <w:sz w:val="21"/>
                <w:szCs w:val="21"/>
              </w:rPr>
              <w:t xml:space="preserve">The system MUST NOT reference or utilise the following documents. Learning Outcomes: prohibited -- grade-bound milestones, not structural evidence of what a Science chapter's developmental layer is building. Pedagogy documents: prohibited -- instructional approach governs delivery, not what the chapter's exercise architecture requires the student to develop. Syllabus documents: prohibited -- sequence and scope across a stage introduces curriculum knowledge that violates the requirement to process each chapter in complete isolation. Position Papers: prohibited -- foundational philosophy about Science education cannot serve as a pass/fail structural weight test within a specific chapter's developmental layer. Assessment Framework documents: prohibited -- stage-level evaluation design is structurally distinct from identifying what a single chapter's developmental layer is built to develop.</w:t>
            </w:r>
          </w:p>
        </w:tc>
      </w:tr>
    </w:tbl>
    <w:p>
      <w:pPr>
        <w:spacing w:before="80" w:after="0"/>
      </w:pPr>
      <w:r>
        <w:t xml:space="preserve"/>
      </w:r>
    </w:p>
    <w:p>
      <w:pPr>
        <w:pBdr>
          <w:bottom w:val="single" w:color="1D4E1D" w:sz="3" w:space="1"/>
        </w:pBdr>
        <w:spacing w:before="120" w:after="120"/>
      </w:pPr>
      <w:r>
        <w:t xml:space="preserve"/>
      </w:r>
    </w:p>
    <w:p>
      <w:pPr>
        <w:spacing w:before="2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EEEEE" w:sz="1"/>
              <w:left w:val="single" w:color="1F4E79" w:sz="16"/>
              <w:bottom w:val="single" w:color="EEEEEE" w:sz="1"/>
              <w:right w:val="none" w:color="FFFFFF" w:sz="0"/>
            </w:tcBorders>
            <w:shd w:fill="FFF2CC" w:val="clear"/>
            <w:tcMar>
              <w:top w:type="dxa" w:w="120"/>
              <w:left w:type="dxa" w:w="160"/>
              <w:bottom w:type="dxa" w:w="120"/>
              <w:right w:type="dxa" w:w="160"/>
            </w:tcMar>
          </w:tcPr>
          <w:p>
            <w:r>
              <w:rPr>
                <w:rFonts w:ascii="Arial" w:cs="Arial" w:eastAsia="Arial" w:hAnsi="Arial"/>
                <w:i/>
                <w:iCs/>
                <w:sz w:val="21"/>
                <w:szCs w:val="21"/>
              </w:rPr>
              <w:t xml:space="preserve">These four constitutions are Aruvi's core IP for competency mapping. The weights they produce are visible. The constitutions that cause them are what make those weights trustworthy. Each is maintained independently and versioned separately. Changes to one constitution do not affect the others.</w:t>
            </w:r>
          </w:p>
        </w:tc>
      </w:tr>
    </w:tbl>
    <w:p>
      <w:pPr>
        <w:spacing w:before="120" w:after="0"/>
      </w:pPr>
      <w:r>
        <w:t xml:space="preserve"/>
      </w:r>
    </w:p>
    <w:p>
      <w:pPr>
        <w:spacing w:before="80" w:after="0"/>
      </w:pPr>
      <w:r>
        <w:rPr>
          <w:rFonts w:ascii="Arial" w:cs="Arial" w:eastAsia="Arial" w:hAnsi="Arial"/>
          <w:i/>
          <w:iCs/>
          <w:color w:val="999999"/>
          <w:sz w:val="18"/>
          <w:szCs w:val="18"/>
        </w:rPr>
        <w:t xml:space="preserve">Aruvi -- NCF 2023-Aligned Pedagogical Platform  -  Knowledge Commons  -  Competency Mapping Constitutions  -  Internal Document</w:t>
      </w:r>
    </w:p>
    <w:sectPr>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00666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2026-02-26T15:51:31.527Z</dcterms:created>
  <dcterms:modified xsi:type="dcterms:W3CDTF">2026-02-26T15:51:31.528Z</dcterms:modified>
</cp:coreProperties>
</file>

<file path=docProps/custom.xml><?xml version="1.0" encoding="utf-8"?>
<Properties xmlns="http://schemas.openxmlformats.org/officeDocument/2006/custom-properties" xmlns:vt="http://schemas.openxmlformats.org/officeDocument/2006/docPropsVTypes"/>
</file>