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4057"/>
          <w:sz w:val="28"/>
          <w:szCs w:val="28"/>
        </w:rPr>
        <w:t xml:space="preserve">Aruvi · Chapter Mapping Evaluation Report</w:t>
      </w:r>
    </w:p>
    <w:p>
      <w:pPr>
        <w:spacing w:after="40"/>
      </w:pPr>
      <w:r>
        <w:rPr>
          <w:rFonts w:ascii="Arial" w:cs="Arial" w:eastAsia="Arial" w:hAnsi="Arial"/>
          <w:color w:val="555555"/>
          <w:sz w:val="20"/>
          <w:szCs w:val="20"/>
        </w:rPr>
        <w:t xml:space="preserve">Subject: Social Sciences  ·  Grade: VII  ·  Chapter 6: The Age of Reorganisation</w:t>
      </w:r>
    </w:p>
    <w:p>
      <w:pPr>
        <w:pBdr>
          <w:bottom w:val="single" w:color="2E4057" w:sz="6" w:space="1"/>
        </w:pBdr>
        <w:spacing w:after="200"/>
      </w:pPr>
      <w:r>
        <w:rPr>
          <w:rFonts w:ascii="Arial" w:cs="Arial" w:eastAsia="Arial" w:hAnsi="Arial"/>
          <w:color w:val="888888"/>
          <w:sz w:val="18"/>
          <w:szCs w:val="18"/>
        </w:rPr>
        <w:t xml:space="preserve">Constitution Reference: competency_constitution_social_sciences V1.2  ·  Eval Framework V1.2</w:t>
      </w:r>
    </w:p>
    <w:p>
      <w:pPr>
        <w:pStyle w:val="Heading1"/>
      </w:pPr>
      <w:r>
        <w:rPr>
          <w:rFonts w:ascii="Arial" w:cs="Arial" w:eastAsia="Arial" w:hAnsi="Arial"/>
        </w:rPr>
        <w:t xml:space="preserve">Section 1 — Pre-Checks (Mechanical)</w:t>
      </w:r>
    </w:p>
    <w:p>
      <w:pPr>
        <w:spacing w:after="100"/>
      </w:pPr>
      <w:r>
        <w:rPr>
          <w:rFonts w:ascii="Arial" w:cs="Arial" w:eastAsia="Arial" w:hAnsi="Arial"/>
          <w:b w:val="false"/>
          <w:bCs w:val="false"/>
          <w:color w:val="000000"/>
          <w:sz w:val="20"/>
          <w:szCs w:val="20"/>
        </w:rPr>
        <w:t xml:space="preserve">No structural errors detected. All five pre-checks pass.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860"/>
        <w:gridCol w:w="1600"/>
      </w:tblGrid>
      <w:tr>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48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chapter_weight = sum of primary weights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3+2+2+2+2 = 11; chapter_weight field = 11</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weights are exactly 1, 2, or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present: 3, 2, 2, 2, 2</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has at least one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entries in primary array</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primary entry has non-empty justification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entries carry justification strings</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 field matches parent CG of c_code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C-2.1→CG-2 ✓  C-2.2→CG-2 ✓  C-10.1→CG-10 ✓  C-7.3→CG-7 ✓  C-9.1→CG-9 ✓</w:t>
            </w:r>
          </w:p>
        </w:tc>
        <w:tc>
          <w:tcPr>
            <w:tcW w:type="dxa" w:w="16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bl>
    <w:p>
      <w:pPr>
        <w:spacing w:after="120"/>
      </w:pPr>
      <w:r>
        <w:t xml:space="preserve"/>
      </w:r>
    </w:p>
    <w:p>
      <w:pPr>
        <w:pStyle w:val="Heading1"/>
      </w:pPr>
      <w:r>
        <w:rPr>
          <w:rFonts w:ascii="Arial" w:cs="Arial" w:eastAsia="Arial" w:hAnsi="Arial"/>
        </w:rPr>
        <w:t xml:space="preserve">Section 2 — Chapter-Level Evaluation</w:t>
      </w:r>
    </w:p>
    <w:p>
      <w:pPr>
        <w:pStyle w:val="Heading2"/>
      </w:pPr>
      <w:r>
        <w:rPr>
          <w:rFonts w:ascii="Arial" w:cs="Arial" w:eastAsia="Arial" w:hAnsi="Arial"/>
        </w:rPr>
        <w:t xml:space="preserve">Rule 8 · Sub-discipline Restriction</w:t>
      </w:r>
    </w:p>
    <w:p>
      <w:pPr>
        <w:spacing w:after="100"/>
      </w:pPr>
      <w:r>
        <w:rPr>
          <w:rFonts w:ascii="Arial" w:cs="Arial" w:eastAsia="Arial" w:hAnsi="Arial"/>
          <w:b w:val="false"/>
          <w:bCs w:val="false"/>
          <w:color w:val="000000"/>
          <w:sz w:val="20"/>
          <w:szCs w:val="20"/>
        </w:rPr>
        <w:t xml:space="preserve">Chapter primary sub-discipline: History. All sections are kingdom or invasion narratives within the post-Maurya reorganisation period.</w:t>
      </w:r>
    </w:p>
    <w:p>
      <w:pPr>
        <w:spacing w:after="100"/>
      </w:pPr>
      <w:r>
        <w:rPr>
          <w:rFonts w:ascii="Arial" w:cs="Arial" w:eastAsia="Arial" w:hAnsi="Arial"/>
          <w:b w:val="false"/>
          <w:bCs w:val="false"/>
          <w:color w:val="000000"/>
          <w:sz w:val="20"/>
          <w:szCs w:val="20"/>
        </w:rPr>
        <w:t xml:space="preserve">History CG cluster: CG-1, CG-2, CG-3. Weight-3 assignment: C-2.1 (CG-2) — History. Correctly within the primary sub-discipline cluster.</w:t>
      </w:r>
    </w:p>
    <w:p>
      <w:pPr>
        <w:spacing w:after="100"/>
      </w:pPr>
      <w:r>
        <w:rPr>
          <w:rFonts w:ascii="Arial" w:cs="Arial" w:eastAsia="Arial" w:hAnsi="Arial"/>
          <w:b w:val="false"/>
          <w:bCs w:val="false"/>
          <w:color w:val="000000"/>
          <w:sz w:val="20"/>
          <w:szCs w:val="20"/>
        </w:rPr>
        <w:t xml:space="preserve">Non-primary assignments at Weight 2: C-10.1 (CG-10), C-7.3 (CG-7), C-9.1 (CG-9) — all permitted at Weight 2 under Rule 8. No Weight-3 from non-History CGs.</w:t>
      </w:r>
    </w:p>
    <w:p>
      <w:pPr>
        <w:spacing w:after="100"/>
      </w:pPr>
      <w:r>
        <w:rPr>
          <w:rFonts w:ascii="Arial" w:cs="Arial" w:eastAsia="Arial" w:hAnsi="Arial"/>
          <w:b/>
          <w:bCs/>
          <w:color w:val="1A7A1A"/>
          <w:sz w:val="20"/>
          <w:szCs w:val="20"/>
        </w:rPr>
        <w:t xml:space="preserve">Finding: PASS. Rule 8 is satisfied.</w:t>
      </w:r>
    </w:p>
    <w:p>
      <w:pPr>
        <w:spacing w:after="120"/>
      </w:pPr>
      <w:r>
        <w:t xml:space="preserve"/>
      </w:r>
    </w:p>
    <w:p>
      <w:pPr>
        <w:pStyle w:val="Heading2"/>
      </w:pPr>
      <w:r>
        <w:rPr>
          <w:rFonts w:ascii="Arial" w:cs="Arial" w:eastAsia="Arial" w:hAnsi="Arial"/>
        </w:rPr>
        <w:t xml:space="preserve">Rule 9 · Tie-break</w:t>
      </w:r>
    </w:p>
    <w:p>
      <w:pPr>
        <w:spacing w:after="100"/>
      </w:pPr>
      <w:r>
        <w:rPr>
          <w:rFonts w:ascii="Arial" w:cs="Arial" w:eastAsia="Arial" w:hAnsi="Arial"/>
          <w:b w:val="false"/>
          <w:bCs w:val="false"/>
          <w:color w:val="000000"/>
          <w:sz w:val="20"/>
          <w:szCs w:val="20"/>
        </w:rPr>
        <w:t xml:space="preserve">Only one competency assigned Weight 3 (C-2.1). Tie-break rule is not applicable.</w:t>
      </w:r>
    </w:p>
    <w:p>
      <w:pPr>
        <w:spacing w:after="120"/>
      </w:pPr>
      <w:r>
        <w:t xml:space="preserve"/>
      </w:r>
    </w:p>
    <w:p>
      <w:pPr>
        <w:pStyle w:val="Heading1"/>
      </w:pPr>
      <w:r>
        <w:rPr>
          <w:rFonts w:ascii="Arial" w:cs="Arial" w:eastAsia="Arial" w:hAnsi="Arial"/>
        </w:rPr>
        <w:t xml:space="preserve">Section 3 — Competency-Level Evaluation</w:t>
      </w:r>
    </w:p>
    <w:p>
      <w:pPr>
        <w:spacing w:after="100"/>
      </w:pPr>
      <w:r>
        <w:rPr>
          <w:rFonts w:ascii="Arial" w:cs="Arial" w:eastAsia="Arial" w:hAnsi="Arial"/>
          <w:b w:val="false"/>
          <w:bCs w:val="false"/>
          <w:color w:val="000000"/>
          <w:sz w:val="20"/>
          <w:szCs w:val="20"/>
        </w:rPr>
        <w:t xml:space="preserve">Evaluation is a justification audit. The evaluator reads each justification against the chapter summary and asks: (1) Does it name the correct architectural container? (2) Does it state a transformation the section demonstrably demands — not one retrospectively connected to the C-code? (3) Does that transformation correspond to what the C-code defines?</w:t>
      </w:r>
    </w:p>
    <w:p>
      <w:pPr>
        <w:spacing w:after="120"/>
      </w:pPr>
      <w:r>
        <w:t xml:space="preserve"/>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400"/>
        <w:gridCol w:w="550"/>
        <w:gridCol w:w="2700"/>
        <w:gridCol w:w="750"/>
        <w:gridCol w:w="4280"/>
        <w:gridCol w:w="1400"/>
      </w:tblGrid>
      <w:tr>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5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w:t>
            </w:r>
          </w:p>
        </w:tc>
        <w:tc>
          <w:tcPr>
            <w:tcW w:type="dxa" w:w="2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7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42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and analyse major political changes and their historical, social, and cultural impacts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chapter’s entire architectural spine — from the Introduction through every named kingdom section — is organised around explaining and analysing major political changes following Maurya decline and their impacts on trade, culture, art, and society, such that removing this competency structurally dissolves the chapter’s fundamental organising purpose.</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R3 · R4</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Introduction and spine-wide coverage stated; every section in the summary confirms this — each is a kingdom or invasion narrative intelligible only in the context of post-Maurya political reorganisation.</w:t>
            </w:r>
          </w:p>
          <w:p>
            <w:pPr>
              <w:spacing w:after="80"/>
            </w:pPr>
            <w:r>
              <w:rPr>
                <w:rFonts w:ascii="Arial" w:cs="Arial" w:eastAsia="Arial" w:hAnsi="Arial"/>
                <w:sz w:val="18"/>
                <w:szCs w:val="18"/>
              </w:rPr>
              <w:t xml:space="preserve">R3: Argument is architectural span, not vocabulary matching.</w:t>
            </w:r>
          </w:p>
          <w:p>
            <w:pPr>
              <w:spacing/>
            </w:pPr>
            <w:r>
              <w:rPr>
                <w:rFonts w:ascii="Arial" w:cs="Arial" w:eastAsia="Arial" w:hAnsi="Arial"/>
                <w:sz w:val="18"/>
                <w:szCs w:val="18"/>
              </w:rPr>
              <w:t xml:space="preserve">R4: Dissolution test explicitly and correctly invoked.</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historical continuity — how past practices and traditions persist over time</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Multiple named sections (The Sātavāhanas/Life under the Sātavāhanas, The Cholas, Invasions of the Indo-Greeks) deliberately surface elements of continued prevalence — the Kallaṇai still in use, Śhaka Samvat as the Indian National Calendar, and modern numerals traced to Brahmi inscriptions — making continuity a substantively recurring strand across the chapter’s architectural logic.</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Three containers named.</w:t>
            </w:r>
          </w:p>
          <w:p>
            <w:pPr>
              <w:spacing w:after="80"/>
            </w:pPr>
            <w:r>
              <w:rPr>
                <w:rFonts w:ascii="Arial" w:cs="Arial" w:eastAsia="Arial" w:hAnsi="Arial"/>
                <w:sz w:val="18"/>
                <w:szCs w:val="18"/>
              </w:rPr>
              <w:t xml:space="preserve">R5(b): Cross-section continuity pathway correctly invoked — no single dedicated section, but the competency runs deliberately across three named sections.</w:t>
            </w:r>
          </w:p>
          <w:p>
            <w:pPr>
              <w:spacing w:after="80"/>
            </w:pPr>
            <w:r>
              <w:rPr>
                <w:rFonts w:ascii="Arial" w:cs="Arial" w:eastAsia="Arial" w:hAnsi="Arial"/>
                <w:sz w:val="18"/>
                <w:szCs w:val="18"/>
              </w:rPr>
              <w:t xml:space="preserve">Each continuity example is a pointed, explicit authorial observation: Kallaṇai ‘still in use today,’ Śhaka Samvat ‘adopted as Indian National Calendar in 1957,’ Brahmi numerals as origin of modern numbers. These are structural continuity claims, not passing mentions.</w:t>
            </w:r>
          </w:p>
          <w:p>
            <w:pPr>
              <w:spacing/>
            </w:pPr>
            <w:r>
              <w:rPr>
                <w:rFonts w:ascii="Arial" w:cs="Arial" w:eastAsia="Arial" w:hAnsi="Arial"/>
                <w:sz w:val="18"/>
                <w:szCs w:val="18"/>
              </w:rPr>
              <w:t xml:space="preserve">Chapter’s own organising logic — tracing each kingdom’s enduring contribution — makes C-2.2 continuity structurally evident. Rule 5(b) cleanly satisfied.</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CG-10</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contributions to world knowledge, civilisation, and culture</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Significant Indian contributions to art (Bharhut Stūpa, Gāndhāra and Mathuṛā schools), engineering (Kallaṇai), mathematics (Brahmi numerals as origin of modern numbers), and literature (Silapadikāram, Mahābhārata, Rāmāyana) are explained across multiple named sections, constituting a substantively deliberate strand in the chapter’s architecture.</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R5(b): Cross-section continuity pathway invoked. The content items listed are traceable to named sections (Surge of the Śhungas, Life under the Sātavāhanas, The Cholas, The Emergence of the Kuṣāṇas) and are presented as achievements students are expected to recognise as India’s heritage — a reasonable correspondence to what C-10.1 defines.</w:t>
            </w:r>
          </w:p>
          <w:p>
            <w:pPr>
              <w:spacing w:after="80"/>
            </w:pPr>
            <w:r>
              <w:rPr>
                <w:rFonts w:ascii="Arial" w:cs="Arial" w:eastAsia="Arial" w:hAnsi="Arial"/>
                <w:sz w:val="18"/>
                <w:szCs w:val="18"/>
              </w:rPr>
              <w:t xml:space="preserve">R2 issue: Justification names only content items, not the sections themselves. Rule 2 requires the architectural container to be named. The sections are identifiable from the summary but the justification should name them explicitly.</w:t>
            </w:r>
          </w:p>
          <w:p>
            <w:pPr>
              <w:spacing/>
            </w:pPr>
            <w:r>
              <w:rPr>
                <w:rFonts w:ascii="Arial" w:cs="Arial" w:eastAsia="Arial" w:hAnsi="Arial"/>
                <w:sz w:val="18"/>
                <w:szCs w:val="18"/>
              </w:rPr>
              <w:t xml:space="preserve">Sharpen: replace content-item listing with explicit section names as containers, then note the contributions those sections present.</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tradition of inclusion, pluralism, and unity in diversity</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India’s tradition of inclusion across communities and schools of thought is developed substantively and deliberately across multiple named sections — Life under the Sātavāhanas, Coming of the Chedis, The Pāṇḍyas, and The Emergence of the Kuṣāṇas — each explicitly recording patronage of or protection for multiple religious communities.</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Four containers named precisely.</w:t>
            </w:r>
          </w:p>
          <w:p>
            <w:pPr>
              <w:spacing w:after="80"/>
            </w:pPr>
            <w:r>
              <w:rPr>
                <w:rFonts w:ascii="Arial" w:cs="Arial" w:eastAsia="Arial" w:hAnsi="Arial"/>
                <w:sz w:val="18"/>
                <w:szCs w:val="18"/>
              </w:rPr>
              <w:t xml:space="preserve">R5(b): Cross-section continuity pathway correctly invoked. The chapter’s own organising logic makes this continuity structurally evident — every kingdom section includes an explicit observation on multi-faith patronage: Sātavāhanas patronising Vaiṣṇava, Vedic, Jain and Buddhist traditions; Khāravela protecting all schools of thought; Pāṇḍyas encouraging all schools; Kaṇiṣhka featuring Buddha and Śhiva on coins.</w:t>
            </w:r>
          </w:p>
          <w:p>
            <w:pPr>
              <w:spacing/>
            </w:pPr>
            <w:r>
              <w:rPr>
                <w:rFonts w:ascii="Arial" w:cs="Arial" w:eastAsia="Arial" w:hAnsi="Arial"/>
                <w:sz w:val="18"/>
                <w:szCs w:val="18"/>
              </w:rPr>
              <w:t xml:space="preserve">This is a deliberate authorial pattern across sections, not incidental mentions. Transformation corresponds to C-7.3. Rule 5(b) cleanly satisfied.</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CG-9</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trade systems, and institutions</w:t>
            </w:r>
          </w:p>
        </w:tc>
        <w:tc>
          <w:tcPr>
            <w:tcW w:type="dxa" w:w="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Key elements of trade and commerce — commodities, maritime and Silk Route networks, trading partners (Roman Empire, West Asia, Greeks) — are explained across multiple named sections (The Sātavāhanas, The Cheras, The Pāṇḍyas, The Emergence of the Kuṣāṇas).</w:t>
            </w:r>
          </w:p>
        </w:tc>
        <w:tc>
          <w:tcPr>
            <w:tcW w:type="dxa" w:w="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R2: Four containers named precisely.</w:t>
            </w:r>
          </w:p>
          <w:p>
            <w:pPr>
              <w:spacing w:after="80"/>
            </w:pPr>
            <w:r>
              <w:rPr>
                <w:rFonts w:ascii="Arial" w:cs="Arial" w:eastAsia="Arial" w:hAnsi="Arial"/>
                <w:sz w:val="18"/>
                <w:szCs w:val="18"/>
              </w:rPr>
              <w:t xml:space="preserve">R5(b): Each named section contains substantive trade content: Sātavāhanas — maritime trade, Roman Empire connections, Naneghat toll points; Cheras — Roman Empire and West Asia trade; Pāṇḍyas — Greek and Roman trade, naval power; Kuṣāṇas — Silk Route control.</w:t>
            </w:r>
          </w:p>
          <w:p>
            <w:pPr>
              <w:spacing/>
            </w:pPr>
            <w:r>
              <w:rPr>
                <w:rFonts w:ascii="Arial" w:cs="Arial" w:eastAsia="Arial" w:hAnsi="Arial"/>
                <w:sz w:val="18"/>
                <w:szCs w:val="18"/>
              </w:rPr>
              <w:t xml:space="preserve">Chapter’s own organising logic records each kingdom’s economic activity alongside its political narrative, making C-9.1 continuity structurally evident across sections. Transformation correctly grounded. Rule 5(b) cleanly satisfied.</w:t>
            </w:r>
          </w:p>
        </w:tc>
        <w:tc>
          <w:tcPr>
            <w:tcW w:type="dxa" w:w="14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20"/>
      </w:pPr>
      <w:r>
        <w:t xml:space="preserve"/>
      </w:r>
    </w:p>
    <w:p>
      <w:pPr>
        <w:pStyle w:val="Heading2"/>
      </w:pPr>
      <w:r>
        <w:rPr>
          <w:rFonts w:ascii="Arial" w:cs="Arial" w:eastAsia="Arial" w:hAnsi="Arial"/>
        </w:rPr>
        <w:t xml:space="preserve">Section 3 — Incidental Competencies (Rule 7)</w:t>
      </w:r>
    </w:p>
    <w:tbl>
      <w:tblPr>
        <w:tblW w:type="dxa" w:w="10480"/>
        <w:tblBorders>
          <w:top w:val="single" w:color="auto" w:sz="4"/>
          <w:left w:val="single" w:color="auto" w:sz="4"/>
          <w:bottom w:val="single" w:color="auto" w:sz="4"/>
          <w:right w:val="single" w:color="auto" w:sz="4"/>
          <w:insideH w:val="single" w:color="auto" w:sz="4"/>
          <w:insideV w:val="single" w:color="auto" w:sz="4"/>
        </w:tblBorders>
      </w:tblPr>
      <w:tblGrid>
        <w:gridCol w:w="750"/>
        <w:gridCol w:w="850"/>
        <w:gridCol w:w="2100"/>
        <w:gridCol w:w="650"/>
        <w:gridCol w:w="4230"/>
        <w:gridCol w:w="1100"/>
        <w:gridCol w:w="800"/>
      </w:tblGrid>
      <w:tr>
        <w:tc>
          <w:tcPr>
            <w:tcW w:type="dxa" w:w="7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CG</w:t>
            </w:r>
          </w:p>
        </w:tc>
        <w:tc>
          <w:tcPr>
            <w:tcW w:type="dxa" w:w="8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2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6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23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R7 Finding</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CG-3</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regional diversity and how different communities lived across the subcontinent</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The chapter covers multiple regions (Deccan, south India, northwest) but no section is organised around comparative regional analysis as its primary purpose. Regional references serve as political and trade context within kingdom narratives.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 relationship between geographical conditions and livelihoods</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Agriculture in the Krishna-Godavari delta and the Kallaṇai irrigation system are mentioned within the Sātavāhana and Chola sections respectively, but neither section is organised around geography-livelihood correlation as its primary purpose. These are subordinate observations within kingdom narratives already captured by C-2.1 and C-9.1.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7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CG-4</w:t>
            </w:r>
          </w:p>
        </w:tc>
        <w:tc>
          <w:tcPr>
            <w:tcW w:type="dxa" w:w="8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C-4.1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political institutions, governance structures, and their functions</w:t>
            </w:r>
          </w:p>
        </w:tc>
        <w:tc>
          <w:tcPr>
            <w:tcW w:type="dxa" w:w="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4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Administrative structures are mentioned briefly — Pāṇḍyas’ strong administration, Sātavāhana fragmentation due to weak central control — but no section or subsection is organised around political-institutional analysis as its primary subject. Incidental is correct.</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8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20"/>
      </w:pPr>
      <w:r>
        <w:t xml:space="preserve"/>
      </w:r>
    </w:p>
    <w:p>
      <w:pPr>
        <w:pStyle w:val="Heading1"/>
      </w:pPr>
      <w:r>
        <w:rPr>
          <w:rFonts w:ascii="Arial" w:cs="Arial" w:eastAsia="Arial" w:hAnsi="Arial"/>
        </w:rPr>
        <w:t xml:space="preserve">Section 4 — Recommended Corrections</w:t>
      </w:r>
    </w:p>
    <w:p>
      <w:pPr>
        <w:spacing w:after="100"/>
      </w:pPr>
      <w:r>
        <w:rPr>
          <w:rFonts w:ascii="Arial" w:cs="Arial" w:eastAsia="Arial" w:hAnsi="Arial"/>
          <w:b w:val="false"/>
          <w:bCs w:val="false"/>
          <w:color w:val="000000"/>
          <w:sz w:val="20"/>
          <w:szCs w:val="20"/>
        </w:rPr>
        <w:t xml:space="preserve">One entry requires correction: C-10.1 (Orange — sharpen justification to name sections explicitly).</w:t>
      </w:r>
    </w:p>
    <w:p>
      <w:pPr>
        <w:spacing w:after="120"/>
      </w:pPr>
      <w:r>
        <w:t xml:space="preserve"/>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800"/>
        <w:gridCol w:w="3780"/>
        <w:gridCol w:w="3900"/>
      </w:tblGrid>
      <w:tr>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C-Code</w:t>
            </w:r>
          </w:p>
        </w:tc>
        <w:tc>
          <w:tcPr>
            <w:tcW w:type="dxa" w:w="1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RAG</w:t>
            </w:r>
          </w:p>
        </w:tc>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7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c>
          <w:tcPr>
            <w:tcW w:type="dxa" w:w="3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Corrected justification must name</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Justification names content items (art schools, Kallaṇai, numerals, epics) but does not name the architectural containers. Rule 2 requires the section to be named, not only its contents.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Arial" w:cs="Arial" w:eastAsia="Arial" w:hAnsi="Arial"/>
                <w:sz w:val="18"/>
                <w:szCs w:val="18"/>
              </w:rPr>
              <w:t xml:space="preserve">Justification field: replace content-item listing with explicit section names as the primary containers, then note what contribution each section presents.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pPr>
            <w:r>
              <w:rPr>
                <w:rFonts w:ascii="Arial" w:cs="Arial" w:eastAsia="Arial" w:hAnsi="Arial"/>
                <w:sz w:val="18"/>
                <w:szCs w:val="18"/>
              </w:rPr>
              <w:t xml:space="preserve">Container: Surge of the Śhungas (Bharhut Stūpa carvings); Life under the Sātavāhanas (Brahmi numerals as origin of modern numbers); The Cholas (Kallaṇai engineering, Silapadikāram); The Emergence of the Kuṣāṇas (Gāndhāra and Mathuṛā art schools, Sanskrit epics).</w:t>
            </w:r>
          </w:p>
          <w:p>
            <w:pPr>
              <w:spacing w:after="80"/>
            </w:pPr>
            <w:r>
              <w:rPr>
                <w:rFonts w:ascii="Arial" w:cs="Arial" w:eastAsia="Arial" w:hAnsi="Arial"/>
                <w:sz w:val="18"/>
                <w:szCs w:val="18"/>
              </w:rPr>
              <w:t xml:space="preserve">Transformation: across these sections the chapter requires students to recognise and understand these as India’s enduring contributions to art, engineering, mathematics, and literature.</w:t>
            </w:r>
          </w:p>
          <w:p>
            <w:pPr>
              <w:spacing/>
            </w:pPr>
            <w:r>
              <w:rPr>
                <w:rFonts w:ascii="Arial" w:cs="Arial" w:eastAsia="Arial" w:hAnsi="Arial"/>
                <w:sz w:val="18"/>
                <w:szCs w:val="18"/>
              </w:rPr>
              <w:t xml:space="preserve">Rule 5(b) pathway: the chapter’s own organising logic — recording each kingdom’s cultural and intellectual legacy — makes C-10.1 continuity structurally evident.</w:t>
            </w:r>
          </w:p>
        </w:tc>
      </w:tr>
    </w:tbl>
    <w:p>
      <w:pPr>
        <w:spacing w:after="120"/>
      </w:pPr>
      <w:r>
        <w:t xml:space="preserve"/>
      </w:r>
    </w:p>
    <w:p>
      <w:pPr>
        <w:pStyle w:val="Heading1"/>
      </w:pPr>
      <w:r>
        <w:rPr>
          <w:rFonts w:ascii="Arial" w:cs="Arial" w:eastAsia="Arial" w:hAnsi="Arial"/>
        </w:rPr>
        <w:t xml:space="preserve">Section 5 — Eval Log Row</w:t>
      </w:r>
    </w:p>
    <w:tbl>
      <w:tblPr>
        <w:tblW w:type="dxa" w:w="125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700"/>
        <w:gridCol w:w="1050"/>
        <w:gridCol w:w="1930"/>
        <w:gridCol w:w="1500"/>
        <w:gridCol w:w="1100"/>
        <w:gridCol w:w="1200"/>
        <w:gridCol w:w="1800"/>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0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chapter_no</w:t>
            </w:r>
          </w:p>
        </w:tc>
        <w:tc>
          <w:tcPr>
            <w:tcW w:type="dxa" w:w="193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chapter_title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structural_errors</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red_flags</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orange_flags</w:t>
            </w:r>
          </w:p>
        </w:tc>
        <w:tc>
          <w:tcPr>
            <w:tcW w:type="dxa" w:w="1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2026-03-11T00:00:00Z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social_sciences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Age of Reorganisation</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1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35A00"/>
                <w:sz w:val="18"/>
                <w:szCs w:val="18"/>
              </w:rPr>
              <w:t xml:space="preserve">C-10.1</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7D5A00"/>
                <w:sz w:val="18"/>
                <w:szCs w:val="18"/>
              </w:rPr>
              <w:t xml:space="preserve">Correct and accept</w:t>
            </w:r>
          </w:p>
        </w:tc>
      </w:tr>
    </w:tbl>
    <w:p>
      <w:pPr>
        <w:spacing w:after="120"/>
      </w:pPr>
      <w:r>
        <w:t xml:space="preserve"/>
      </w:r>
    </w:p>
    <w:p>
      <w:pPr>
        <w:pBdr>
          <w:top w:val="single" w:color="CCCCCC" w:sz="4" w:space="1"/>
        </w:pBdr>
        <w:spacing w:before="200"/>
      </w:pPr>
      <w:r>
        <w:rPr>
          <w:rFonts w:ascii="Arial" w:cs="Arial" w:eastAsia="Arial" w:hAnsi="Arial"/>
          <w:color w:val="888888"/>
          <w:sz w:val="16"/>
          <w:szCs w:val="16"/>
        </w:rPr>
        <w:t xml:space="preserve">Aruvi · NCF 2023-Aligned Pedagogical Platform · Knowledge Commons · Chapter Mapping Evaluation · Social Sciences · Grade VII · Chapter 6 · V1.2</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2026-03-11T09:52:13.722Z</dcterms:created>
  <dcterms:modified xsi:type="dcterms:W3CDTF">2026-03-11T09:52:13.723Z</dcterms:modified>
</cp:coreProperties>
</file>

<file path=docProps/custom.xml><?xml version="1.0" encoding="utf-8"?>
<Properties xmlns="http://schemas.openxmlformats.org/officeDocument/2006/custom-properties" xmlns:vt="http://schemas.openxmlformats.org/officeDocument/2006/docPropsVTypes"/>
</file>