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E4057"/>
          <w:sz w:val="30"/>
          <w:szCs w:val="30"/>
        </w:rPr>
        <w:t xml:space="preserve">Aruvi · Chapter Mapping Evaluation Report</w:t>
      </w:r>
    </w:p>
    <w:p>
      <w:pPr>
        <w:spacing w:after="60"/>
      </w:pPr>
      <w:r>
        <w:rPr>
          <w:rFonts w:ascii="Arial" w:cs="Arial" w:eastAsia="Arial" w:hAnsi="Arial"/>
          <w:color w:val="444444"/>
          <w:sz w:val="20"/>
          <w:szCs w:val="20"/>
        </w:rPr>
        <w:t xml:space="preserve">Subject: Social Sciences  ·  Grade: VII  ·  Chapter 7: The Gupta Era: An Age of Tireless Creativity</w:t>
      </w:r>
    </w:p>
    <w:p>
      <w:pPr>
        <w:pBdr>
          <w:bottom w:val="single" w:color="2E4057" w:sz="6" w:space="1"/>
        </w:pBdr>
        <w:spacing w:after="240"/>
      </w:pPr>
      <w:r>
        <w:rPr>
          <w:rFonts w:ascii="Arial" w:cs="Arial" w:eastAsia="Arial" w:hAnsi="Arial"/>
          <w:color w:val="888888"/>
          <w:sz w:val="17"/>
          <w:szCs w:val="17"/>
        </w:rPr>
        <w:t xml:space="preserve">Constitution Reference: competency_constitution_social_sciences V1.2  ·  Eval Framework V1.2</w:t>
      </w:r>
    </w:p>
    <w:p>
      <w:pPr>
        <w:pStyle w:val="Heading1"/>
        <w:spacing w:after="160" w:before="320"/>
      </w:pPr>
      <w:r>
        <w:rPr>
          <w:rFonts w:ascii="Arial" w:cs="Arial" w:eastAsia="Arial" w:hAnsi="Arial"/>
          <w:b/>
          <w:bCs/>
          <w:color w:val="2E4057"/>
          <w:sz w:val="26"/>
          <w:szCs w:val="26"/>
        </w:rPr>
        <w:t xml:space="preserve">Section 1 — Pre-Checks (Mechanical)</w:t>
      </w:r>
    </w:p>
    <w:p>
      <w:pPr>
        <w:spacing w:after="100"/>
      </w:pPr>
      <w:r>
        <w:rPr>
          <w:rFonts w:ascii="Arial" w:cs="Arial" w:eastAsia="Arial" w:hAnsi="Arial"/>
          <w:b w:val="false"/>
          <w:bCs w:val="false"/>
          <w:color w:val="000000"/>
          <w:sz w:val="20"/>
          <w:szCs w:val="20"/>
        </w:rPr>
        <w:t xml:space="preserve">No structural errors detected. All five pre-checks pass. Evaluation proceeds to Section 2.</w:t>
      </w:r>
    </w:p>
    <w:p>
      <w:pPr>
        <w:spacing w:after="16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5060"/>
        <w:gridCol w:w="1500"/>
      </w:tblGrid>
      <w:tr>
        <w:tc>
          <w:tcPr>
            <w:tcW w:type="dxa" w:w="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24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Pass Condition</w:t>
            </w:r>
          </w:p>
        </w:tc>
        <w:tc>
          <w:tcPr>
            <w:tcW w:type="dxa" w:w="50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Verification</w:t>
            </w:r>
          </w:p>
        </w:tc>
        <w:tc>
          <w:tcPr>
            <w:tcW w:type="dxa" w:w="1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chapter_weight equals sum of all weight values in primary array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 + 2 + 2 + 1 = 8; chapter_weight field = 8</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weight in primary is exactly 1, 2, or 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Weights present: 3, 2, 2, 1</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array has at least one entry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 entries in primary array</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primary entry has a non-empty justification 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4 entries carry justification strings</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cg field matches parent CG of c_code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C-2.1→CG-2 ✓  C-1.1→CG-1 ✓  C-10.1→CG-10 ✓  C-9.1→CG-9 ✓</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PASS</w:t>
            </w:r>
          </w:p>
        </w:tc>
      </w:tr>
    </w:tbl>
    <w:p>
      <w:pPr>
        <w:spacing w:after="160"/>
      </w:pPr>
      <w:r>
        <w:t xml:space="preserve"/>
      </w:r>
    </w:p>
    <w:p>
      <w:pPr>
        <w:pStyle w:val="Heading1"/>
        <w:spacing w:after="160" w:before="320"/>
      </w:pPr>
      <w:r>
        <w:rPr>
          <w:rFonts w:ascii="Arial" w:cs="Arial" w:eastAsia="Arial" w:hAnsi="Arial"/>
          <w:b/>
          <w:bCs/>
          <w:color w:val="2E4057"/>
          <w:sz w:val="26"/>
          <w:szCs w:val="26"/>
        </w:rPr>
        <w:t xml:space="preserve">Section 2 — Chapter-Level Evaluation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6100"/>
        <w:gridCol w:w="2000"/>
      </w:tblGrid>
      <w:tr>
        <w:tc>
          <w:tcPr>
            <w:tcW w:type="dxa" w:w="14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61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Check and Analysis</w:t>
            </w:r>
          </w:p>
        </w:tc>
        <w:tc>
          <w:tcPr>
            <w:tcW w:type="dxa" w:w="2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Finding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Rule 8
Sub-discipline restriction</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val="false"/>
                <w:bCs w:val="false"/>
                <w:color w:val="000000"/>
                <w:sz w:val="18"/>
                <w:szCs w:val="18"/>
              </w:rPr>
              <w:t xml:space="preserve">Chapter primary sub-discipline: History. Every section from ‘A New Power Emerges’ through ‘The Decline of the Guptas’ narrates the rise, achievements, and fall of the Gupta Empire as a historical phenomenon.</w:t>
            </w:r>
          </w:p>
          <w:p>
            <w:pPr>
              <w:spacing w:after="100"/>
              <w:ind/>
            </w:pPr>
            <w:r>
              <w:rPr>
                <w:rFonts w:ascii="Arial" w:cs="Arial" w:eastAsia="Arial" w:hAnsi="Arial"/>
                <w:b w:val="false"/>
                <w:bCs w:val="false"/>
                <w:color w:val="000000"/>
                <w:sz w:val="18"/>
                <w:szCs w:val="18"/>
              </w:rPr>
              <w:t xml:space="preserve">History CG cluster: CG-1, CG-2, CG-3. Weight-3 assignment: C-2.1 (CG-2) — correctly within the History cluster.</w:t>
            </w:r>
          </w:p>
          <w:p>
            <w:pPr>
              <w:spacing w:after="100"/>
              <w:ind w:left="200" w:hanging="20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Non-primary assignments: C-1.1 (CG-1, Weight 2) — also within History cluster. C-10.1 (CG-10, Weight 2) and C-9.1 (CG-9, Weight 1) — permitted at Weight 2/1 under Rule 8.</w:t>
            </w:r>
          </w:p>
          <w:p>
            <w:pPr>
              <w:spacing/>
              <w:ind w:left="200" w:hanging="20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No Weight-3 assigned to a C-code outside the History sub-discipline cluster.</w:t>
            </w:r>
          </w:p>
        </w:tc>
        <w:tc>
          <w:tcPr>
            <w:tcW w:type="dxa" w:w="20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PASS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Rule 9
Tie-break</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Only one competency assigned Weight 3 (C-2.1). Tie-break rule is not applicable.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18"/>
                <w:szCs w:val="18"/>
              </w:rPr>
              <w:t xml:space="preserve">N/A</w:t>
            </w:r>
          </w:p>
        </w:tc>
      </w:tr>
    </w:tbl>
    <w:p>
      <w:pPr>
        <w:spacing w:after="160"/>
      </w:pPr>
      <w:r>
        <w:t xml:space="preserve"/>
      </w:r>
    </w:p>
    <w:p>
      <w:pPr>
        <w:pStyle w:val="Heading1"/>
        <w:spacing w:after="160" w:before="320"/>
      </w:pPr>
      <w:r>
        <w:rPr>
          <w:rFonts w:ascii="Arial" w:cs="Arial" w:eastAsia="Arial" w:hAnsi="Arial"/>
          <w:b/>
          <w:bCs/>
          <w:color w:val="2E4057"/>
          <w:sz w:val="26"/>
          <w:szCs w:val="26"/>
        </w:rPr>
        <w:t xml:space="preserve">Section 3 — Competency-Level Evaluation</w:t>
      </w:r>
    </w:p>
    <w:p>
      <w:pPr>
        <w:spacing w:after="100"/>
      </w:pPr>
      <w:r>
        <w:rPr>
          <w:rFonts w:ascii="Arial" w:cs="Arial" w:eastAsia="Arial" w:hAnsi="Arial"/>
          <w:b w:val="false"/>
          <w:bCs w:val="false"/>
          <w:color w:val="000000"/>
          <w:sz w:val="20"/>
          <w:szCs w:val="20"/>
        </w:rPr>
        <w:t xml:space="preserve">Evaluation is a justification audit. For each entry the evaluator asks: (1) Does the justification name the correct architectural container? (2) Does it state a cognitive transformation the named section demonstrably demands of the student — not one retrospectively connected to the C-code? (3) Does that transformation correspond to what the C-code defines?</w:t>
      </w:r>
    </w:p>
    <w:p>
      <w:pPr>
        <w:spacing w:after="160"/>
      </w:pPr>
      <w:r>
        <w:t xml:space="preserve"/>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560"/>
        <w:gridCol w:w="680"/>
        <w:gridCol w:w="1500"/>
        <w:gridCol w:w="440"/>
        <w:gridCol w:w="2700"/>
        <w:gridCol w:w="650"/>
        <w:gridCol w:w="4120"/>
        <w:gridCol w:w="1110"/>
      </w:tblGrid>
      <w:tr>
        <w:tc>
          <w:tcPr>
            <w:tcW w:type="dxa" w:w="5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CG</w:t>
            </w:r>
          </w:p>
        </w:tc>
        <w:tc>
          <w:tcPr>
            <w:tcW w:type="dxa" w:w="6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C-Code</w:t>
            </w:r>
          </w:p>
        </w:tc>
        <w:tc>
          <w:tcPr>
            <w:tcW w:type="dxa" w:w="1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Competency</w:t>
            </w:r>
          </w:p>
        </w:tc>
        <w:tc>
          <w:tcPr>
            <w:tcW w:type="dxa" w:w="44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Wt</w:t>
            </w:r>
          </w:p>
        </w:tc>
        <w:tc>
          <w:tcPr>
            <w:tcW w:type="dxa" w:w="27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Justification (from JSON)</w:t>
            </w:r>
          </w:p>
        </w:tc>
        <w:tc>
          <w:tcPr>
            <w:tcW w:type="dxa" w:w="6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Rules</w:t>
            </w:r>
          </w:p>
        </w:tc>
        <w:tc>
          <w:tcPr>
            <w:tcW w:type="dxa" w:w="412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Finding</w:t>
            </w:r>
          </w:p>
        </w:tc>
        <w:tc>
          <w:tcPr>
            <w:tcW w:type="dxa" w:w="111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RAG</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CG-2</w:t>
            </w:r>
          </w:p>
        </w:tc>
        <w:tc>
          <w:tcPr>
            <w:tcW w:type="dxa" w:w="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and analyse major political changes and their historical, social, and cultural impacts</w:t>
            </w:r>
          </w:p>
        </w:tc>
        <w:tc>
          <w:tcPr>
            <w:tcW w:type="dxa" w:w="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The chapter’s entire architecture — from ‘A New Power Emerges’ through ‘The Decline of the Guptas’ — is organised around explaining and analysing the Gupta Empire as a major historical change and its impact on Indian civilisation across governance, culture, science, and art; removing this competency structurally dissolves the chapter’s fundamental organising purpose.</w:t>
            </w:r>
          </w:p>
        </w:tc>
        <w:tc>
          <w:tcPr>
            <w:tcW w:type="dxa" w:w="6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R3 · R4</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val="false"/>
                <w:bCs w:val="false"/>
                <w:color w:val="000000"/>
                <w:sz w:val="18"/>
                <w:szCs w:val="18"/>
              </w:rPr>
              <w:t xml:space="preserve">R2 (Architectural container): Full architectural span named — opening section (‘A New Power Emerges’) through closing section (‘The Decline of the Guptas’). Container is the chapter’s entire organisational frame. Correctly identified.</w:t>
            </w:r>
          </w:p>
          <w:p>
            <w:pPr>
              <w:spacing w:after="100"/>
              <w:ind/>
            </w:pPr>
            <w:r>
              <w:rPr>
                <w:rFonts w:ascii="Arial" w:cs="Arial" w:eastAsia="Arial" w:hAnsi="Arial"/>
                <w:b w:val="false"/>
                <w:bCs w:val="false"/>
                <w:color w:val="000000"/>
                <w:sz w:val="18"/>
                <w:szCs w:val="18"/>
              </w:rPr>
              <w:t xml:space="preserve">R3 (Surface match rejection): Justification argues from span-wide structural unity, not from vocabulary shared between chapter and C-code. The claim is that every section is organised around this competency — a structural argument, not a lexical one. Rejection test does not apply.</w:t>
            </w:r>
          </w:p>
          <w:p>
            <w:pPr>
              <w:spacing/>
              <w:ind/>
            </w:pPr>
            <w:r>
              <w:rPr>
                <w:rFonts w:ascii="Arial" w:cs="Arial" w:eastAsia="Arial" w:hAnsi="Arial"/>
                <w:b w:val="false"/>
                <w:bCs w:val="false"/>
                <w:color w:val="000000"/>
                <w:sz w:val="18"/>
                <w:szCs w:val="18"/>
              </w:rPr>
              <w:t xml:space="preserve">R4 (Dissolution test): Explicitly and correctly invoked. Removing C-2.1 (understanding major political change and its civilisational impact) leaves the chapter with no purpose — every section from political expansion to cultural achievement to decline is organised around this frame.</w:t>
            </w:r>
          </w:p>
        </w:tc>
        <w:tc>
          <w:tcPr>
            <w:tcW w:type="dxa" w:w="111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CG-1</w:t>
            </w:r>
          </w:p>
        </w:tc>
        <w:tc>
          <w:tcPr>
            <w:tcW w:type="dxa" w:w="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 and interpret historical sources and evidence</w:t>
            </w:r>
          </w:p>
        </w:tc>
        <w:tc>
          <w:tcPr>
            <w:tcW w:type="dxa" w:w="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The dedicated named section ‘A Traveller’s Account of Indian Society in the Gupta Age’ is organised entirely around interpreting Faxian’s travelogue as a primary source and critiquing its one-sided perspective, while the ‘Samudragupta’ subsection is structured around interpreting the prayāga praśhasti inscription, making source interpretation a substantive competency developed across multiple named architectural containers.</w:t>
            </w:r>
          </w:p>
        </w:tc>
        <w:tc>
          <w:tcPr>
            <w:tcW w:type="dxa" w:w="6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R5</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bCs/>
                <w:color w:val="000000"/>
                <w:sz w:val="18"/>
                <w:szCs w:val="18"/>
              </w:rPr>
              <w:t xml:space="preserve">Container 1 — ‘A Traveller’s Account of Indian Society in the Gupta Age’:</w:t>
            </w:r>
          </w:p>
          <w:p>
            <w:pPr>
              <w:spacing w:after="100"/>
              <w:ind w:left="200" w:hanging="20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This section is qualitatively different from the Chapter 6 C-1.1 pattern. The chapter summary’s closing sentence for this section states: ‘reminding readers that historical accounts reflect only one perspective and must be corroborated with multiple sources.’ This is an explicit source-evaluation directive placed on the student — not authorial interpretation reported to the student. The section’s primary subject is the critical use of a primary source (Faxian’s travelogue) including its limitations.</w:t>
            </w:r>
          </w:p>
          <w:p>
            <w:pPr>
              <w:spacing w:after="100"/>
              <w:ind w:left="200" w:hanging="20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R5(a) is satisfied: this is an architecturally distinct named section (top-level heading) whose primary subject is source interpretation with a built-in critical evaluation instruction. One container is sufficient for Weight 2 under Rule 5(a).</w:t>
            </w:r>
          </w:p>
          <w:p>
            <w:pPr>
              <w:spacing w:after="100"/>
              <w:ind/>
            </w:pPr>
            <w:r>
              <w:rPr>
                <w:rFonts w:ascii="Arial" w:cs="Arial" w:eastAsia="Arial" w:hAnsi="Arial"/>
                <w:b/>
                <w:bCs/>
                <w:color w:val="000000"/>
                <w:sz w:val="18"/>
                <w:szCs w:val="18"/>
              </w:rPr>
              <w:t xml:space="preserve">Container 2 — ‘The Warrior King: Samudragupta’ subsection:</w:t>
            </w:r>
          </w:p>
          <w:p>
            <w:pPr>
              <w:spacing w:after="100"/>
              <w:ind w:left="200" w:hanging="20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The prayāga praśhasti is introduced as evidence of what Samudragupta did (‘praises Samudragupta’s ambition’, ‘Harisena’s inscription records how the king supported…’). The summary presents the inscription’s content as narrative fact — the author interprets the inscription for the student. There is no source-evaluation directive comparable to the Faxian section. This is the Chapter 6 C-1.1 pattern: source cited, not source interpreted.</w:t>
            </w:r>
          </w:p>
          <w:p>
            <w:pPr>
              <w:spacing w:after="100"/>
              <w:ind w:left="200" w:hanging="20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Container 2 does not satisfy the source-interpretation structural test. It is overstated in the justification. Weight 2 is fully justified on Container 1 alone; the second container should be removed or reframed as supporting context.</w:t>
            </w:r>
          </w:p>
          <w:p>
            <w:pPr>
              <w:spacing/>
              <w:ind/>
            </w:pPr>
            <w:r>
              <w:rPr>
                <w:rFonts w:ascii="Arial" w:cs="Arial" w:eastAsia="Arial" w:hAnsi="Arial"/>
                <w:b/>
                <w:bCs/>
                <w:color w:val="B35A00"/>
                <w:sz w:val="18"/>
                <w:szCs w:val="18"/>
              </w:rPr>
              <w:t xml:space="preserve">Weight 2 is correct. Justification requires sharpening.</w:t>
            </w:r>
          </w:p>
        </w:tc>
        <w:tc>
          <w:tcPr>
            <w:tcW w:type="dxa" w:w="111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B35A00"/>
                <w:sz w:val="18"/>
                <w:szCs w:val="18"/>
              </w:rPr>
              <w:t xml:space="preserve">Orange</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CG-10</w:t>
            </w:r>
          </w:p>
        </w:tc>
        <w:tc>
          <w:tcPr>
            <w:tcW w:type="dxa" w:w="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C-10.1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India’s contributions to world knowledge, civilisation, and culture</w:t>
            </w:r>
          </w:p>
        </w:tc>
        <w:tc>
          <w:tcPr>
            <w:tcW w:type="dxa" w:w="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The dedicated named section ‘New Ideas and Wonders: The Classical Age’ with its subsections on Āryabhaṭa, Varāhamihira, and Kālidāsa, and the separate named section ‘The Quest for Beauty,’ are architecturally distinct blocks whose primary purpose is explaining India’s significant contributions to mathematics, astronomy, medicine, literature, and art during the Gupta era.</w:t>
            </w:r>
          </w:p>
        </w:tc>
        <w:tc>
          <w:tcPr>
            <w:tcW w:type="dxa" w:w="6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R5</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val="false"/>
                <w:bCs w:val="false"/>
                <w:color w:val="000000"/>
                <w:sz w:val="18"/>
                <w:szCs w:val="18"/>
              </w:rPr>
              <w:t xml:space="preserve">R2 (Containers): Two named sections identified with precision: ‘New Ideas and Wonders: The Classical Age’ and ‘The Quest for Beauty.’ Both are top-level section headings in the chapter summary.</w:t>
            </w:r>
          </w:p>
          <w:p>
            <w:pPr>
              <w:spacing w:after="100"/>
              <w:ind w:left="200" w:hanging="20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R5(a) — Container 1: ‘New Ideas and Wonders: The Classical Age’ devotes three named subsections to Āryabhaṭa (mathematics, astronomy), Varāhamihira (astronomy, astrology, encyclopedic knowledge), and Kālidāsa (Sanskrit literature). Its primary subject is India’s scientific and literary contributions. Architecturally distinct; stands alone as a learning unit. Rule 5(a) satisfied.</w:t>
            </w:r>
          </w:p>
          <w:p>
            <w:pPr>
              <w:spacing w:after="100"/>
              <w:ind w:left="200" w:hanging="20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R5(a) — Container 2: ‘The Quest for Beauty’ covers Gupta visual art, Ajanta cave paintings, and sculpture. Its primary subject is India’s artistic legacy. Architecturally distinct; stands alone. Rule 5(a) satisfied independently.</w:t>
            </w:r>
          </w:p>
          <w:p>
            <w:pPr>
              <w:spacing/>
              <w:ind w:left="200" w:hanging="20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Two Rule 5(a) containers — the strongest possible application of Weight 2. Transformation corresponds directly to C-10.1. Clean and fully grounded.</w:t>
            </w:r>
          </w:p>
        </w:tc>
        <w:tc>
          <w:tcPr>
            <w:tcW w:type="dxa" w:w="111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CG-9</w:t>
            </w:r>
          </w:p>
        </w:tc>
        <w:tc>
          <w:tcPr>
            <w:tcW w:type="dxa" w:w="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C-9.1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economic activities, trade systems, and institutions</w:t>
            </w:r>
          </w:p>
        </w:tc>
        <w:tc>
          <w:tcPr>
            <w:tcW w:type="dxa" w:w="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The named subsection ‘Thriving Trade’ within ‘Glimpses of the Gupta Empire’ is the primary structural element explaining key elements of Gupta-era trade — commodities (textiles, spices, ivory, gemstones), trade networks (Mediterranean, Southeast Asia, China), and the Indian Ocean route via Socotra — satisfying Rule 6 as a named subsection whose primary subject is trade and commerce.</w:t>
            </w:r>
          </w:p>
        </w:tc>
        <w:tc>
          <w:tcPr>
            <w:tcW w:type="dxa" w:w="6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R2 · R6</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val="false"/>
                <w:bCs w:val="false"/>
                <w:color w:val="000000"/>
                <w:sz w:val="18"/>
                <w:szCs w:val="18"/>
              </w:rPr>
              <w:t xml:space="preserve">R6 condition 1 (named structural element whose primary subject is this competency): ‘Thriving Trade’ is a named subsection under ‘Glimpses of the Gupta Empire.’ Its name declares its primary subject. Content confirms: commodities exported (textiles, spices, ivory, gemstones), three trading regions (Mediterranean, Southeast Asia, China), and the Indian Ocean route via Socotra with archaeological corroboration. Condition 1 satisfied.</w:t>
            </w:r>
          </w:p>
          <w:p>
            <w:pPr>
              <w:spacing w:after="100"/>
              <w:ind/>
            </w:pPr>
            <w:r>
              <w:rPr>
                <w:rFonts w:ascii="Arial" w:cs="Arial" w:eastAsia="Arial" w:hAnsi="Arial"/>
                <w:b w:val="false"/>
                <w:bCs w:val="false"/>
                <w:color w:val="000000"/>
                <w:sz w:val="18"/>
                <w:szCs w:val="18"/>
              </w:rPr>
              <w:t xml:space="preserve">R6 condition 2 (does not constitute a dedicated section or architecturally distinct activity block): ‘Thriving Trade’ is a subsection within a larger named section ‘Glimpses of the Gupta Empire,’ which also contains ‘Governance and Administration.’ It is below section level; it does not stand alone as an architecturally distinct block. Condition 2 satisfied.</w:t>
            </w:r>
          </w:p>
          <w:p>
            <w:pPr>
              <w:spacing/>
              <w:ind/>
            </w:pPr>
            <w:r>
              <w:rPr>
                <w:rFonts w:ascii="Arial" w:cs="Arial" w:eastAsia="Arial" w:hAnsi="Arial"/>
                <w:b/>
                <w:bCs/>
                <w:color w:val="1A7A1A"/>
                <w:sz w:val="18"/>
                <w:szCs w:val="18"/>
              </w:rPr>
              <w:t xml:space="preserve">Justification explicitly and correctly names the Rule 6 conditions. This is a well-constructed Weight 1 application.</w:t>
            </w:r>
          </w:p>
        </w:tc>
        <w:tc>
          <w:tcPr>
            <w:tcW w:type="dxa" w:w="111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bl>
    <w:p>
      <w:pPr>
        <w:spacing w:after="160"/>
      </w:pPr>
      <w:r>
        <w:t xml:space="preserve"/>
      </w:r>
    </w:p>
    <w:p>
      <w:pPr>
        <w:pStyle w:val="Heading2"/>
        <w:spacing w:after="100" w:before="200"/>
      </w:pPr>
      <w:r>
        <w:rPr>
          <w:rFonts w:ascii="Arial" w:cs="Arial" w:eastAsia="Arial" w:hAnsi="Arial"/>
          <w:b/>
          <w:bCs/>
          <w:color w:val="2E4057"/>
          <w:sz w:val="22"/>
          <w:szCs w:val="22"/>
        </w:rPr>
        <w:t xml:space="preserve">Incidental Competencies (Rule 7)</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600"/>
        <w:gridCol w:w="720"/>
        <w:gridCol w:w="1900"/>
        <w:gridCol w:w="580"/>
        <w:gridCol w:w="5350"/>
        <w:gridCol w:w="900"/>
        <w:gridCol w:w="710"/>
      </w:tblGrid>
      <w:tr>
        <w:tc>
          <w:tcPr>
            <w:tcW w:type="dxa" w:w="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CG</w:t>
            </w:r>
          </w:p>
        </w:tc>
        <w:tc>
          <w:tcPr>
            <w:tcW w:type="dxa" w:w="72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C-Code</w:t>
            </w:r>
          </w:p>
        </w:tc>
        <w:tc>
          <w:tcPr>
            <w:tcW w:type="dxa" w:w="1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Competency</w:t>
            </w:r>
          </w:p>
        </w:tc>
        <w:tc>
          <w:tcPr>
            <w:tcW w:type="dxa" w:w="5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535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R7 Finding</w:t>
            </w:r>
          </w:p>
        </w:tc>
        <w:tc>
          <w:tcPr>
            <w:tcW w:type="dxa" w:w="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Outcome</w:t>
            </w:r>
          </w:p>
        </w:tc>
        <w:tc>
          <w:tcPr>
            <w:tcW w:type="dxa" w:w="71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RAG</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CG-2</w:t>
            </w:r>
          </w:p>
        </w:tc>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C-2.2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historical continuity — how past practices and traditions persist over time</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5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The Iron Pillar’s 1,600-year rust-free preservation is noted in ‘A New Power Emerges’ as a metallurgical achievement, not as an instance of a practice or tradition persisting over time. Achievements across ‘New Ideas and Wonders’ and ‘The Quest for Beauty’ are framed as contributions to world knowledge, not as continuity observations. No section is organised around historical continuity as its primary subject. Zero explicitly designated structural elements for C-2.2. Incidental is correct.</w:t>
            </w:r>
          </w:p>
        </w:tc>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71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CG-3</w:t>
            </w:r>
          </w:p>
        </w:tc>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C-3.2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regional diversity and how different communities lived across the subcontinent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5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The section ‘Meanwhile in the South and Northeast’ describes the Pallavas (Tamil Nadu, Karnataka) and Kāmarūpa (Brahmaputra valley) alongside the Gupta north. However, the section is organised around political narrative — contemporary kingdoms, Samudragupta’s campaigns, tributary arrangements — not around comparative analysis of how different regional communities lived. The section’s primary subject is political geography, not regional diversity of lived experience. No structural element whose primary subject is C-3.2. Incidental is correct, though the section is a borderline case worth monitoring if the mapping is re-run.</w:t>
            </w:r>
          </w:p>
        </w:tc>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71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CG-7</w:t>
            </w:r>
          </w:p>
        </w:tc>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C-7.3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India’s tradition of inclusion, pluralism, and unity in diversity</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w:t>
            </w:r>
          </w:p>
        </w:tc>
        <w:tc>
          <w:tcPr>
            <w:tcW w:type="dxa" w:w="5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Gupta rulers’ patronage of Vaiṣṇava traditions AND Buddhist institutions (Nālandā,vihāras) is noted in ‘New Ideas and Wonders.’ Chandragupta II is described as a devoted Viṣṇu follower who also patronised Buddhist institutions. However, these observations appear within sections organised around other primary subjects (political and cultural achievements, the classical age). Unlike Chapter 6 where four named sections explicitly addressed multi-faith patronage as a sustained strand, here pluralism surfaces as incidental narrative colour. No section is organised around India’s tradition of inclusion as its primary subject. Zero explicitly designated structural elements for C-7.3. Incidental is correct.</w:t>
            </w:r>
          </w:p>
        </w:tc>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bCs/>
                <w:color w:val="1A7A1A"/>
                <w:sz w:val="18"/>
                <w:szCs w:val="18"/>
              </w:rPr>
              <w:t xml:space="preserve">Correct</w:t>
            </w:r>
          </w:p>
        </w:tc>
        <w:tc>
          <w:tcPr>
            <w:tcW w:type="dxa" w:w="71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vAlign w:val="center"/>
          </w:tcPr>
          <w:p>
            <w:pPr>
              <w:jc w:val="center"/>
            </w:pPr>
            <w:r>
              <w:rPr>
                <w:rFonts w:ascii="Arial" w:cs="Arial" w:eastAsia="Arial" w:hAnsi="Arial"/>
                <w:b/>
                <w:bCs/>
                <w:color w:val="1A7A1A"/>
                <w:sz w:val="18"/>
                <w:szCs w:val="18"/>
              </w:rPr>
              <w:t xml:space="preserve">Green</w:t>
            </w:r>
          </w:p>
        </w:tc>
      </w:tr>
    </w:tbl>
    <w:p>
      <w:pPr>
        <w:spacing w:after="160"/>
      </w:pPr>
      <w:r>
        <w:t xml:space="preserve"/>
      </w:r>
    </w:p>
    <w:p>
      <w:pPr>
        <w:pStyle w:val="Heading1"/>
        <w:spacing w:after="160" w:before="320"/>
      </w:pPr>
      <w:r>
        <w:rPr>
          <w:rFonts w:ascii="Arial" w:cs="Arial" w:eastAsia="Arial" w:hAnsi="Arial"/>
          <w:b/>
          <w:bCs/>
          <w:color w:val="2E4057"/>
          <w:sz w:val="26"/>
          <w:szCs w:val="26"/>
        </w:rPr>
        <w:t xml:space="preserve">Section 4 — Recommended Corrections</w:t>
      </w:r>
    </w:p>
    <w:p>
      <w:pPr>
        <w:spacing w:after="100"/>
      </w:pPr>
      <w:r>
        <w:rPr>
          <w:rFonts w:ascii="Arial" w:cs="Arial" w:eastAsia="Arial" w:hAnsi="Arial"/>
          <w:b w:val="false"/>
          <w:bCs w:val="false"/>
          <w:color w:val="000000"/>
          <w:sz w:val="20"/>
          <w:szCs w:val="20"/>
        </w:rPr>
        <w:t xml:space="preserve">One entry requires justification sharpening. Weight 2 for C-1.1 is correct; the justification must be restructured to rest on Container 1 alone and the Samudragupta subsection must be removed or reframed as supporting context.</w:t>
      </w:r>
    </w:p>
    <w:p>
      <w:pPr>
        <w:spacing w:after="160"/>
      </w:pPr>
      <w:r>
        <w:t xml:space="preserve"/>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900"/>
        <w:gridCol w:w="820"/>
        <w:gridCol w:w="2500"/>
        <w:gridCol w:w="3880"/>
        <w:gridCol w:w="3660"/>
      </w:tblGrid>
      <w:tr>
        <w:tc>
          <w:tcPr>
            <w:tcW w:type="dxa" w:w="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C-Code</w:t>
            </w:r>
          </w:p>
        </w:tc>
        <w:tc>
          <w:tcPr>
            <w:tcW w:type="dxa" w:w="82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RAG</w:t>
            </w:r>
          </w:p>
        </w:tc>
        <w:tc>
          <w:tcPr>
            <w:tcW w:type="dxa" w:w="2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38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What to change</w:t>
            </w:r>
          </w:p>
        </w:tc>
        <w:tc>
          <w:tcPr>
            <w:tcW w:type="dxa" w:w="36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Corrected justification must state</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18"/>
                <w:szCs w:val="18"/>
              </w:rPr>
              <w:t xml:space="preserve">C-1.1</w:t>
            </w:r>
          </w:p>
        </w:tc>
        <w:tc>
          <w:tcPr>
            <w:tcW w:type="dxa" w:w="82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B35A00"/>
                <w:sz w:val="18"/>
                <w:szCs w:val="18"/>
              </w:rPr>
              <w:t xml:space="preserve">Orange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ind/>
            </w:pPr>
            <w:r>
              <w:rPr>
                <w:rFonts w:ascii="Arial" w:cs="Arial" w:eastAsia="Arial" w:hAnsi="Arial"/>
                <w:b w:val="false"/>
                <w:bCs w:val="false"/>
                <w:color w:val="000000"/>
                <w:sz w:val="18"/>
                <w:szCs w:val="18"/>
              </w:rPr>
              <w:t xml:space="preserve">Justification claims Weight 2 on two containers. Container 1 (‘A Traveller’s Account’) is a valid Rule 5(a) container. Container 2 (‘Samudragupta’ subsection) does not satisfy the source-interpretation structural test — the prayāga praśhasti is presented as narrative evidence of the king’s deeds, not as a source the student is required to evaluate.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bCs/>
                <w:color w:val="000000"/>
                <w:sz w:val="18"/>
                <w:szCs w:val="18"/>
              </w:rPr>
              <w:t xml:space="preserve">Justification field only. Weight remains 2.</w:t>
            </w:r>
          </w:p>
          <w:p>
            <w:pPr>
              <w:spacing w:after="100"/>
              <w:ind w:left="200" w:hanging="20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Remove the ‘Samudragupta’ subsection as a primary Rule 5(a) container. Restructure the justification to rest entirely on ‘A Traveller’s Account’ as the single Rule 5(a) container.</w:t>
            </w:r>
          </w:p>
          <w:p>
            <w:pPr>
              <w:spacing/>
              <w:ind w:left="200" w:hanging="20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If the Samudragupta inscription is mentioned at all, frame it only as additional source material in the chapter context — explicitly noting it does not supply a student-directed source-evaluation instruction.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00"/>
              <w:ind/>
            </w:pPr>
            <w:r>
              <w:rPr>
                <w:rFonts w:ascii="Arial" w:cs="Arial" w:eastAsia="Arial" w:hAnsi="Arial"/>
                <w:b w:val="false"/>
                <w:bCs w:val="false"/>
                <w:color w:val="000000"/>
                <w:sz w:val="18"/>
                <w:szCs w:val="18"/>
              </w:rPr>
              <w:t xml:space="preserve">Primary container: ‘A Traveller’s Account of Indian Society in the Gupta Age’ — an architecturally distinct top-level named section (Rule 5(a) satisfied) whose primary subject is the critical use of Faxian’s travelogue as a primary source.</w:t>
            </w:r>
          </w:p>
          <w:p>
            <w:pPr>
              <w:spacing w:after="100"/>
              <w:ind w:left="200" w:hanging="20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Transformation demanded: the section’s closing instruction explicitly directs students to recognise that historical accounts reflect only one perspective and must be corroborated with multiple sources — a student-directed source-evaluation act, not authorial interpretation reported to the student.</w:t>
            </w:r>
          </w:p>
          <w:p>
            <w:pPr>
              <w:spacing/>
              <w:ind w:left="200" w:hanging="200"/>
            </w:pPr>
            <w:r>
              <w:rPr>
                <w:rFonts w:ascii="Arial" w:cs="Arial" w:eastAsia="Arial" w:hAnsi="Arial"/>
                <w:sz w:val="18"/>
                <w:szCs w:val="18"/>
              </w:rPr>
              <w:t xml:space="preserve">•  </w:t>
            </w:r>
            <w:r>
              <w:rPr>
                <w:rFonts w:ascii="Arial" w:cs="Arial" w:eastAsia="Arial" w:hAnsi="Arial"/>
                <w:b w:val="false"/>
                <w:bCs w:val="false"/>
                <w:color w:val="000000"/>
                <w:sz w:val="18"/>
                <w:szCs w:val="18"/>
              </w:rPr>
              <w:t xml:space="preserve">This single container is sufficient for Weight 2 under Rule 5(a). The prayāga praśhasti in the Samudragupta subsection provides a second primary source in the chapter but contains no comparable student-directed evaluation directive and does not satisfy the structural source-interpretation test.</w:t>
            </w:r>
          </w:p>
        </w:tc>
      </w:tr>
    </w:tbl>
    <w:p>
      <w:pPr>
        <w:spacing w:after="160"/>
      </w:pPr>
      <w:r>
        <w:t xml:space="preserve"/>
      </w:r>
    </w:p>
    <w:p>
      <w:pPr>
        <w:pStyle w:val="Heading1"/>
        <w:spacing w:after="160" w:before="320"/>
      </w:pPr>
      <w:r>
        <w:rPr>
          <w:rFonts w:ascii="Arial" w:cs="Arial" w:eastAsia="Arial" w:hAnsi="Arial"/>
          <w:b/>
          <w:bCs/>
          <w:color w:val="2E4057"/>
          <w:sz w:val="26"/>
          <w:szCs w:val="26"/>
        </w:rPr>
        <w:t xml:space="preserve">Section 5 — Eval Log</w:t>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00"/>
        <w:gridCol w:w="980"/>
        <w:gridCol w:w="2200"/>
        <w:gridCol w:w="1500"/>
        <w:gridCol w:w="900"/>
        <w:gridCol w:w="1100"/>
        <w:gridCol w:w="1280"/>
      </w:tblGrid>
      <w:tr>
        <w:tc>
          <w:tcPr>
            <w:tcW w:type="dxa" w:w="1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timestamp</w:t>
            </w:r>
          </w:p>
        </w:tc>
        <w:tc>
          <w:tcPr>
            <w:tcW w:type="dxa" w:w="13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subject</w:t>
            </w:r>
          </w:p>
        </w:tc>
        <w:tc>
          <w:tcPr>
            <w:tcW w:type="dxa" w:w="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grade</w:t>
            </w:r>
          </w:p>
        </w:tc>
        <w:tc>
          <w:tcPr>
            <w:tcW w:type="dxa" w:w="9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chapter_no</w:t>
            </w:r>
          </w:p>
        </w:tc>
        <w:tc>
          <w:tcPr>
            <w:tcW w:type="dxa" w:w="2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chapter_title</w:t>
            </w:r>
          </w:p>
        </w:tc>
        <w:tc>
          <w:tcPr>
            <w:tcW w:type="dxa" w:w="1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structural_errors</w:t>
            </w:r>
          </w:p>
        </w:tc>
        <w:tc>
          <w:tcPr>
            <w:tcW w:type="dxa" w:w="9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red_flags</w:t>
            </w:r>
          </w:p>
        </w:tc>
        <w:tc>
          <w:tcPr>
            <w:tcW w:type="dxa" w:w="11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orange_flags</w:t>
            </w:r>
          </w:p>
        </w:tc>
        <w:tc>
          <w:tcPr>
            <w:tcW w:type="dxa" w:w="12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outcome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2026-03-11T00:00:00Z</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social_sciences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vii</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Gupta Era: An Age of Tireless Creativity</w:t>
            </w:r>
          </w:p>
        </w:tc>
        <w:tc>
          <w:tcPr>
            <w:tcW w:type="dxa" w:w="15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val="false"/>
                <w:bCs w:val="false"/>
                <w:color w:val="1A7A1A"/>
                <w:sz w:val="18"/>
                <w:szCs w:val="18"/>
              </w:rPr>
              <w:t xml:space="preserve">None</w:t>
            </w:r>
          </w:p>
        </w:tc>
        <w:tc>
          <w:tcPr>
            <w:tcW w:type="dxa" w:w="900"/>
            <w:tcBorders>
              <w:top w:val="single" w:color="CCCCCC" w:sz="1"/>
              <w:left w:val="single" w:color="CCCCCC" w:sz="1"/>
              <w:bottom w:val="single" w:color="CCCCCC" w:sz="1"/>
              <w:right w:val="single" w:color="CCCCCC" w:sz="1"/>
            </w:tcBorders>
            <w:shd w:fill="D6F0D6" w:val="clear"/>
            <w:tcMar>
              <w:top w:type="dxa" w:w="80"/>
              <w:left w:type="dxa" w:w="120"/>
              <w:bottom w:type="dxa" w:w="80"/>
              <w:right w:type="dxa" w:w="120"/>
            </w:tcMar>
          </w:tcPr>
          <w:p>
            <w:r>
              <w:rPr>
                <w:rFonts w:ascii="Arial" w:cs="Arial" w:eastAsia="Arial" w:hAnsi="Arial"/>
                <w:b w:val="false"/>
                <w:bCs w:val="false"/>
                <w:color w:val="1A7A1A"/>
                <w:sz w:val="18"/>
                <w:szCs w:val="18"/>
              </w:rPr>
              <w:t xml:space="preserve">None</w:t>
            </w:r>
          </w:p>
        </w:tc>
        <w:tc>
          <w:tcPr>
            <w:tcW w:type="dxa" w:w="11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B35A00"/>
                <w:sz w:val="18"/>
                <w:szCs w:val="18"/>
              </w:rPr>
              <w:t xml:space="preserve">C-1.1</w:t>
            </w:r>
          </w:p>
        </w:tc>
        <w:tc>
          <w:tcPr>
            <w:tcW w:type="dxa" w:w="12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7D5A00"/>
                <w:sz w:val="18"/>
                <w:szCs w:val="18"/>
              </w:rPr>
              <w:t xml:space="preserve">Correct and accept</w:t>
            </w:r>
          </w:p>
        </w:tc>
      </w:tr>
    </w:tbl>
    <w:p>
      <w:pPr>
        <w:spacing w:after="160"/>
      </w:pPr>
      <w:r>
        <w:t xml:space="preserve"/>
      </w:r>
    </w:p>
    <w:p>
      <w:pPr>
        <w:pBdr>
          <w:top w:val="single" w:color="CCCCCC" w:sz="4" w:space="1"/>
        </w:pBdr>
        <w:spacing w:before="160"/>
      </w:pPr>
      <w:r>
        <w:rPr>
          <w:rFonts w:ascii="Arial" w:cs="Arial" w:eastAsia="Arial" w:hAnsi="Arial"/>
          <w:color w:val="999999"/>
          <w:sz w:val="16"/>
          <w:szCs w:val="16"/>
        </w:rPr>
        <w:t xml:space="preserve">Aruvi · NCF 2023-Aligned Pedagogical Platform · Knowledge Commons · Chapter Mapping Evaluation · Social Sciences · Grade VII · Chapter 7 · Eval Framework V1.2</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2026-03-11T11:14:02.490Z</dcterms:created>
  <dcterms:modified xsi:type="dcterms:W3CDTF">2026-03-11T11:14:02.491Z</dcterms:modified>
</cp:coreProperties>
</file>

<file path=docProps/custom.xml><?xml version="1.0" encoding="utf-8"?>
<Properties xmlns="http://schemas.openxmlformats.org/officeDocument/2006/custom-properties" xmlns:vt="http://schemas.openxmlformats.org/officeDocument/2006/docPropsVTypes"/>
</file>