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4057"/>
          <w:sz w:val="30"/>
          <w:szCs w:val="30"/>
        </w:rPr>
        <w:t xml:space="preserve">Aruvi · Chapter Mapping Evaluation Report</w:t>
      </w:r>
    </w:p>
    <w:p>
      <w:pPr>
        <w:spacing w:after="60"/>
      </w:pPr>
      <w:r>
        <w:rPr>
          <w:rFonts w:ascii="Arial" w:cs="Arial" w:eastAsia="Arial" w:hAnsi="Arial"/>
          <w:color w:val="444444"/>
          <w:sz w:val="20"/>
          <w:szCs w:val="20"/>
        </w:rPr>
        <w:t xml:space="preserve">Subject: Social Sciences  ·  Grade: VII  ·  Chapter 8: How the Land Becomes Sacred</w:t>
      </w:r>
    </w:p>
    <w:p>
      <w:pPr>
        <w:pBdr>
          <w:bottom w:val="single" w:color="2E4057" w:sz="6" w:space="1"/>
        </w:pBdr>
        <w:spacing w:after="240"/>
      </w:pPr>
      <w:r>
        <w:rPr>
          <w:rFonts w:ascii="Arial" w:cs="Arial" w:eastAsia="Arial" w:hAnsi="Arial"/>
          <w:color w:val="888888"/>
          <w:sz w:val="17"/>
          <w:szCs w:val="17"/>
        </w:rPr>
        <w:t xml:space="preserve">Constitution Reference: competency_constitution_social_sciences V1.2  ·  Eval Framework V1.2  ·  Mapping run: 2026-03-11 (post Rule 6 tightening)</w:t>
      </w:r>
    </w:p>
    <w:p>
      <w:pPr>
        <w:spacing w:after="160" w:before="320"/>
      </w:pPr>
      <w:r>
        <w:rPr>
          <w:rFonts w:ascii="Arial" w:cs="Arial" w:eastAsia="Arial" w:hAnsi="Arial"/>
          <w:b/>
          <w:bCs/>
          <w:color w:val="2E4057"/>
          <w:sz w:val="26"/>
          <w:szCs w:val="26"/>
        </w:rPr>
        <w:t xml:space="preserve">Section 1 — Pre-Checks (Mechanical)</w:t>
      </w:r>
    </w:p>
    <w:p>
      <w:pPr>
        <w:spacing w:after="100"/>
      </w:pPr>
      <w:r>
        <w:rPr>
          <w:rFonts w:ascii="Arial" w:cs="Arial" w:eastAsia="Arial" w:hAnsi="Arial"/>
          <w:b w:val="false"/>
          <w:bCs w:val="false"/>
          <w:color w:val="000000"/>
          <w:sz w:val="20"/>
          <w:szCs w:val="20"/>
        </w:rPr>
        <w:t xml:space="preserve">No structural errors detected. All five pre-checks pass. Evaluation proceeds to Section 2.</w:t>
      </w:r>
    </w:p>
    <w:p>
      <w:pPr>
        <w:spacing w:after="16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5060"/>
        <w:gridCol w:w="1500"/>
      </w:tblGrid>
      <w:tr>
        <w:tc>
          <w:tcPr>
            <w:tcW w:type="dxa" w:w="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2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Pass Condition</w:t>
            </w:r>
          </w:p>
        </w:tc>
        <w:tc>
          <w:tcPr>
            <w:tcW w:type="dxa" w:w="50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Verification</w:t>
            </w:r>
          </w:p>
        </w:tc>
        <w:tc>
          <w:tcPr>
            <w:tcW w:type="dxa" w:w="1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chapter_weight equals sum of all weight values in primary array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3+2+2+1+1 = 9; chapter_weight field = 9</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weight in primary is exactly 1, 2, or 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Weights present: 3, 2, 2, 1, 1</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array has at least one entry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entries in primary array</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primary entry has a non-empty justification 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5 entries carry justification strings</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cg field matches parent CG of c_code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C-7.1→CG-7 ✓  C-7.3→CG-7 ✓  C-6.3→CG-6 ✓  C-9.1→CG-9 ✓  C-5.2→CG-5 ✓</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PASS</w:t>
            </w:r>
          </w:p>
        </w:tc>
      </w:tr>
    </w:tbl>
    <w:p>
      <w:pPr>
        <w:spacing w:after="160"/>
      </w:pPr>
      <w:r>
        <w:t xml:space="preserve"/>
      </w:r>
    </w:p>
    <w:p>
      <w:pPr>
        <w:spacing w:after="160" w:before="320"/>
      </w:pPr>
      <w:r>
        <w:rPr>
          <w:rFonts w:ascii="Arial" w:cs="Arial" w:eastAsia="Arial" w:hAnsi="Arial"/>
          <w:b/>
          <w:bCs/>
          <w:color w:val="2E4057"/>
          <w:sz w:val="26"/>
          <w:szCs w:val="26"/>
        </w:rPr>
        <w:t xml:space="preserve">Section 2 — Chapter-Level Evaluation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6100"/>
        <w:gridCol w:w="2000"/>
      </w:tblGrid>
      <w:tr>
        <w:tc>
          <w:tcPr>
            <w:tcW w:type="dxa" w:w="1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6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Check and Analysis</w:t>
            </w:r>
          </w:p>
        </w:tc>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Finding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Rule 8
Sub-discipline restriction</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Chapter primary sub-discipline: Geography. The chapter’s organising question is how the physical landscape — rivers, mountains, forests, groves — becomes sacred, and how that sacredness has historically driven ecological conservation. Geography CG cluster: CG-6, CG-7 (cross-cutting).</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Weight-3 assignment: C-7.1 (CG-7) — CG-7 is cross-cutting across sub-disciplines; permitted at Weight 3 under Rule 8.</w:t>
            </w:r>
          </w:p>
          <w:p>
            <w:pPr>
              <w:spacing/>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Non-primary: C-7.3 (CG-7, Wt 2), C-6.3 (CG-6, Wt 2), C-9.1 (CG-9, Wt 1), C-5.2 (CG-5, Wt 1) — all at Weight 2 or below. Permitted.</w:t>
            </w:r>
          </w:p>
        </w:tc>
        <w:tc>
          <w:tcPr>
            <w:tcW w:type="dxa" w:w="20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Rule 9
Tie-break</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Only one competency assigned Weight 3 (C-7.1). Tie-break rule is not applicable.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18"/>
                <w:szCs w:val="18"/>
              </w:rPr>
              <w:t xml:space="preserve">N/A</w:t>
            </w:r>
          </w:p>
        </w:tc>
      </w:tr>
    </w:tbl>
    <w:p>
      <w:pPr>
        <w:spacing w:after="160"/>
      </w:pPr>
      <w:r>
        <w:t xml:space="preserve"/>
      </w:r>
    </w:p>
    <w:p>
      <w:pPr>
        <w:spacing w:after="160" w:before="320"/>
      </w:pPr>
      <w:r>
        <w:rPr>
          <w:rFonts w:ascii="Arial" w:cs="Arial" w:eastAsia="Arial" w:hAnsi="Arial"/>
          <w:b/>
          <w:bCs/>
          <w:color w:val="2E4057"/>
          <w:sz w:val="26"/>
          <w:szCs w:val="26"/>
        </w:rPr>
        <w:t xml:space="preserve">Section 3 — Competency-Level Evaluation</w:t>
      </w:r>
    </w:p>
    <w:p>
      <w:pPr>
        <w:spacing w:after="100"/>
      </w:pPr>
      <w:r>
        <w:rPr>
          <w:rFonts w:ascii="Arial" w:cs="Arial" w:eastAsia="Arial" w:hAnsi="Arial"/>
          <w:b w:val="false"/>
          <w:bCs w:val="false"/>
          <w:color w:val="000000"/>
          <w:sz w:val="20"/>
          <w:szCs w:val="20"/>
        </w:rPr>
        <w:t xml:space="preserve">Evaluation is a justification audit. For each entry the evaluator asks: (1) Does the justification name the correct architectural container? (2) Does it state a cognitive transformation the named section demonstrably demands of the student? (3) Does that transformation correspond to what the C-code defines?</w:t>
      </w:r>
    </w:p>
    <w:p>
      <w:pPr>
        <w:spacing w:after="160"/>
      </w:pPr>
      <w:r>
        <w:t xml:space="preserve"/>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560"/>
        <w:gridCol w:w="680"/>
        <w:gridCol w:w="1500"/>
        <w:gridCol w:w="440"/>
        <w:gridCol w:w="2700"/>
        <w:gridCol w:w="650"/>
        <w:gridCol w:w="4120"/>
        <w:gridCol w:w="1110"/>
      </w:tblGrid>
      <w:tr>
        <w:tc>
          <w:tcPr>
            <w:tcW w:type="dxa" w:w="5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CG</w:t>
            </w:r>
          </w:p>
        </w:tc>
        <w:tc>
          <w:tcPr>
            <w:tcW w:type="dxa" w:w="6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C-Code</w:t>
            </w:r>
          </w:p>
        </w:tc>
        <w:tc>
          <w:tcPr>
            <w:tcW w:type="dxa" w:w="1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Competency</w:t>
            </w:r>
          </w:p>
        </w:tc>
        <w:tc>
          <w:tcPr>
            <w:tcW w:type="dxa" w:w="44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Wt</w:t>
            </w:r>
          </w:p>
        </w:tc>
        <w:tc>
          <w:tcPr>
            <w:tcW w:type="dxa" w:w="27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Justification (from JSON)</w:t>
            </w:r>
          </w:p>
        </w:tc>
        <w:tc>
          <w:tcPr>
            <w:tcW w:type="dxa" w:w="6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Rules</w:t>
            </w:r>
          </w:p>
        </w:tc>
        <w:tc>
          <w:tcPr>
            <w:tcW w:type="dxa" w:w="412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Finding</w:t>
            </w:r>
          </w:p>
        </w:tc>
        <w:tc>
          <w:tcPr>
            <w:tcW w:type="dxa" w:w="111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RAG</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CG-6</w:t>
            </w:r>
          </w:p>
        </w:tc>
        <w:tc>
          <w:tcPr>
            <w:tcW w:type="dxa" w:w="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C-6.3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the relationship between human activities, natural processes, and the environment; analyse how culture shapes and is shaped by the environment</w:t>
            </w:r>
          </w:p>
        </w:tc>
        <w:tc>
          <w:tcPr>
            <w:tcW w:type="dxa" w:w="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chapter’s Sacred Ecology section (with subsections on Rivers and Sangams, Mountains and Forests, Trees/Forests/Sacred Groves) and the closing section ‘Restoring and Conserving the Sacred’ together form the structural spine of the chapter — the argument that India’s sacred perception of the land produced ecological stewardship is what the chapter is fundamentally organised around; removing C-6.3 dissolves the chapter’s organising purpose.</w:t>
            </w:r>
          </w:p>
        </w:tc>
        <w:tc>
          <w:tcPr>
            <w:tcW w:type="dxa" w:w="6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R3 · R4</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R4 (Dissolution test): The chapter title is ‘How the Land Becomes Sacred.’ The organising question is how the physical landscape — rivers, mountains, forests, groves — becomes sacred, and what that sacredness means for how people relate to and protect the land. This is C-6.3’s domain: the culture-environment relationship. Remove C-6.3 and Sacred Ecology (the chapter’s longest structural block with three named subsections), Restoring and Conserving the Sacred, and the chapter’s central argument all dissolve. The chapter loses its purpose. Dissolution test passes.</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R2 — Container 1: ‘Sacred Ecology’ with subsections Rivers and Sangams, Mountains and Forests, Trees/Forests/Sacred Groves. Each subsection develops how sacred perception of a specific natural feature drives its protection. Primary subject is the culture-environment relationship. Architecturally the largest block in the chapter.</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R2 — Container 2: ‘Restoring and Conserving the Sacred’ — organised around the degradation of sacred rivers and groves and the argument for restoration grounded in the sacred worldview. Architecturally distinct closing section.</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R3: The transformation is what the chapter’s architecture demands of the student — not a retrospective C-code vocabulary match. The sacred ecology argument is the chapter’s own organising logic.</w:t>
            </w:r>
          </w:p>
          <w:p>
            <w:pPr>
              <w:spacing/>
              <w:ind/>
            </w:pPr>
            <w:r>
              <w:rPr>
                <w:rFonts w:ascii="Arial" w:cs="Arial" w:eastAsia="Arial" w:hAnsi="Arial"/>
                <w:b/>
                <w:bCs/>
                <w:color w:val="1A7A1A"/>
                <w:sz w:val="18"/>
                <w:szCs w:val="18"/>
              </w:rPr>
              <w:t xml:space="preserve">Weight 3 is correct. The pipeline’s original Weight 2 assignment was an inversion error — rhetorical prominence of ‘Becoming Aware of Sacred Geography’ was misread as structural centrality.</w:t>
            </w:r>
          </w:p>
        </w:tc>
        <w:tc>
          <w:tcPr>
            <w:tcW w:type="dxa" w:w="11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CG-7</w:t>
            </w:r>
          </w:p>
        </w:tc>
        <w:tc>
          <w:tcPr>
            <w:tcW w:type="dxa" w:w="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C-7.1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India’s unity in diversity — how shared traditions, values, and heritage bind together a diverse society</w:t>
            </w:r>
          </w:p>
        </w:tc>
        <w:tc>
          <w:tcPr>
            <w:tcW w:type="dxa" w:w="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dedicated top-level named section ‘Becoming Aware of Sacred Geography’ is architecturally distinct and organised entirely around the argument that networks of sacred sites spanning India’s length and breadth produced cultural integration; Nehru’s observation in ‘Pilgrimages’ that these traditions fostered ‘a feeling of one country and one culture’ provides supporting evidence across sections.</w:t>
            </w:r>
          </w:p>
        </w:tc>
        <w:tc>
          <w:tcPr>
            <w:tcW w:type="dxa" w:w="6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R5(a) — Primary container: ‘Becoming Aware of Sacred Geography’ is a top-level named section whose primary subject is the argument that chār dhām, jyotirlingas, and Shakti pīthas — spanning the Subcontinent across regions — produced cultural integration as pilgrims encountered diverse languages and customs while recognising shared commonalities. Architecturally distinct; could stand alone. Rule 5(a) satisfied.</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Supporting evidence: ‘Pilgrimages’ section contains Nehru’s observation that pilgrimage fostered ‘a feeling of one country and one culture’ — this enriches the Weight 2 justification but is not a separate Rule 5(a) container (its primary subject is pilgrimage traditions, not unity in diversity).</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Dissolution test (R4): removing C-7.1 leaves Sacred Ecology, Sacred Places Across Religions, Pilgrimages, From Pilgrimage to Trade, and Restoring and Conserving all structurally intact. The chapter’s organising purpose survives. Weight 3 is not justified. Weight 2 on Rule 5(a) is correct.</w:t>
            </w:r>
          </w:p>
          <w:p>
            <w:pPr>
              <w:spacing/>
              <w:ind/>
            </w:pPr>
            <w:r>
              <w:rPr>
                <w:rFonts w:ascii="Arial" w:cs="Arial" w:eastAsia="Arial" w:hAnsi="Arial"/>
                <w:b/>
                <w:bCs/>
                <w:color w:val="1A7A1A"/>
                <w:sz w:val="18"/>
                <w:szCs w:val="18"/>
              </w:rPr>
              <w:t xml:space="preserve">Corrected from Weight 3. Weight 2 is the right assignment.</w:t>
            </w:r>
          </w:p>
        </w:tc>
        <w:tc>
          <w:tcPr>
            <w:tcW w:type="dxa" w:w="11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CG-7</w:t>
            </w:r>
          </w:p>
        </w:tc>
        <w:tc>
          <w:tcPr>
            <w:tcW w:type="dxa" w:w="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C-7.3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India’s tradition of inclusion, pluralism, and unity in diversity across religious and cultural communities</w:t>
            </w:r>
          </w:p>
        </w:tc>
        <w:tc>
          <w:tcPr>
            <w:tcW w:type="dxa" w:w="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dedicated named section ‘Sacred Places Across Religions’ is architecturally distinct in developing India’s tradition of inclusion across communities and faiths, evidenced by cross-faith visitation at Ajmer Dargah and Velankanni Church, and this theme is sustained across multiple sections including ‘Pilgrimages’ and ‘Becoming Aware of Sacred Geography.’</w:t>
            </w:r>
          </w:p>
        </w:tc>
        <w:tc>
          <w:tcPr>
            <w:tcW w:type="dxa" w:w="6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R5(a) — Primary container: ‘Sacred Places Across Religions’ is a top-level named section whose primary subject is India’s multi-religious sacred landscape — systematically covering Islam, Christianity, Judaism, Zoroastrianism, Buddhism, Sikhism, Jainism, and Hindu/folk/tribal traditions. It is architecturally distinct and could stand alone as a learning unit. Rule 5(a) is satisfied. Weight 2 is correct on this container alone.</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R5(b) overstatement: The justification additionally claims the theme is ‘sustained across’ ‘Pilgrimages’ and ‘Becoming Aware of Sacred Geography.’ These sections are organised around pilgrimage traditions and cultural integration respectively — not around India’s tradition of inclusion across faiths as their primary subject. The R5(b) extension is not supported and should be removed.</w:t>
            </w:r>
          </w:p>
          <w:p>
            <w:pPr>
              <w:spacing/>
              <w:ind/>
            </w:pPr>
            <w:r>
              <w:rPr>
                <w:rFonts w:ascii="Arial" w:cs="Arial" w:eastAsia="Arial" w:hAnsi="Arial"/>
                <w:b/>
                <w:bCs/>
                <w:color w:val="B35A00"/>
                <w:sz w:val="18"/>
                <w:szCs w:val="18"/>
              </w:rPr>
              <w:t xml:space="preserve">Weight 2 correct. Justification should rest on Rule 5(a) alone and remove the R5(b) claim.</w:t>
            </w:r>
          </w:p>
        </w:tc>
        <w:tc>
          <w:tcPr>
            <w:tcW w:type="dxa" w:w="111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B35A00"/>
                <w:sz w:val="18"/>
                <w:szCs w:val="18"/>
              </w:rPr>
              <w:t xml:space="preserve">Orange</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CG-9</w:t>
            </w:r>
          </w:p>
        </w:tc>
        <w:tc>
          <w:tcPr>
            <w:tcW w:type="dxa" w:w="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C-9.1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economic activities, trade systems, and institutions</w:t>
            </w:r>
          </w:p>
        </w:tc>
        <w:tc>
          <w:tcPr>
            <w:tcW w:type="dxa" w:w="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named section ‘From Pilgrimage to Trade’ is a designated structural element whose primary subject is the overlap of pilgrimage and trade routes (Uttarapatha, Dakṣhināpātha) and the goods exchanged along them, requiring the student to engage with key elements of trade and commerce.</w:t>
            </w:r>
          </w:p>
        </w:tc>
        <w:tc>
          <w:tcPr>
            <w:tcW w:type="dxa" w:w="6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R6</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R6 condition 1 — named structural element whose primary subject is this competency: The trade routes passage within ‘From Pilgrimage to Trade’ names routes (Uttarapatha, Dakṣhināpātha), lists commodities (precious stones, shells, pearls, coins, gold, diamonds, cotton, spices, sandalwood), and its primary subject is ancient Indian trade systems. Condition 1 satisfied.</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R6 condition 2 — does NOT constitute a dedicated section or architecturally distinct activity block: This passage is a subsection within ‘From Pilgrimage to Trade,’ not a top-level section heading. It sits below section level. Condition 2 satisfied.</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Cognitive operation requirement (amended Rule 6): the passage contains an explicit student task instruction — ‘Revisit the map of trade routes (Fig. 5.5) in the chapter The Rise of Empires’ — requiring the student to cross-reference, locate, and connect trade routes to pilgrimage geography. This is an observable cognitive operation, not mere reading. Cognitive operation requirement satisfied.</w:t>
            </w:r>
          </w:p>
          <w:p>
            <w:pPr>
              <w:spacing/>
              <w:ind/>
            </w:pPr>
            <w:r>
              <w:rPr>
                <w:rFonts w:ascii="Arial" w:cs="Arial" w:eastAsia="Arial" w:hAnsi="Arial"/>
                <w:b/>
                <w:bCs/>
                <w:color w:val="1A7A1A"/>
                <w:sz w:val="18"/>
                <w:szCs w:val="18"/>
              </w:rPr>
              <w:t xml:space="preserve">All Rule 6 conditions met. Weight 1 is correct.</w:t>
            </w:r>
          </w:p>
        </w:tc>
        <w:tc>
          <w:tcPr>
            <w:tcW w:type="dxa" w:w="11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CG-5</w:t>
            </w:r>
          </w:p>
        </w:tc>
        <w:tc>
          <w:tcPr>
            <w:tcW w:type="dxa" w:w="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C-5.2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efforts to address inequality, marginalisation, and social justice at community and institutional levels</w:t>
            </w:r>
          </w:p>
        </w:tc>
        <w:tc>
          <w:tcPr>
            <w:tcW w:type="dxa" w:w="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named section ‘Restoring and Conserving the Sacred’ is a designated structural element whose primary subject is efforts being made to protect sacred rivers, groves, and environments, requiring the student to identify and appreciate conservation efforts at the community level.</w:t>
            </w:r>
          </w:p>
        </w:tc>
        <w:tc>
          <w:tcPr>
            <w:tcW w:type="dxa" w:w="6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R6</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Three independent failures:</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R6 condition 2 failure: ‘Restoring and Conserving the Sacred’ is a top-level named section — not below section level. Cannot satisfy Rule 6 condition 2.</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Cognitive operation failure (new Rule 6 tightening): the justification states the element requires the student to ‘identify and appreciate conservation efforts.’ ‘Appreciate’ is an internal cognitive state — explicitly prohibited by the Rule 6 cognitive operation requirement. The element must require the student to perform an observable cognitive operation, not experience an internal state.</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C-code correspondence failure: CG-5 governs inequality, marginalisation, and social justice. C-5.2 addresses efforts to address these at community and institutional levels. Community conservation of sacred rivers and groves is an environmental/ecological act, not a response to inequality or marginalisation. The surface match (‘community-level efforts’) does not correspond to what C-5.2 defines. Rule 3 surface-match rejection applies.</w:t>
            </w:r>
          </w:p>
          <w:p>
            <w:pPr>
              <w:spacing/>
              <w:ind/>
            </w:pPr>
            <w:r>
              <w:rPr>
                <w:rFonts w:ascii="Arial" w:cs="Arial" w:eastAsia="Arial" w:hAnsi="Arial"/>
                <w:b/>
                <w:bCs/>
                <w:color w:val="922B21"/>
                <w:sz w:val="18"/>
                <w:szCs w:val="18"/>
              </w:rPr>
              <w:t xml:space="preserve">All three failures are independent — any one alone is sufficient to reject this entry. C-5.2 must be moved to Incidental.</w:t>
            </w:r>
          </w:p>
        </w:tc>
        <w:tc>
          <w:tcPr>
            <w:tcW w:type="dxa" w:w="111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8"/>
                <w:szCs w:val="18"/>
              </w:rPr>
              <w:t xml:space="preserve">Red</w:t>
            </w:r>
          </w:p>
        </w:tc>
      </w:tr>
    </w:tbl>
    <w:p>
      <w:pPr>
        <w:spacing w:after="160"/>
      </w:pPr>
      <w:r>
        <w:t xml:space="preserve"/>
      </w:r>
    </w:p>
    <w:p>
      <w:pPr>
        <w:spacing w:after="100" w:before="200"/>
      </w:pPr>
      <w:r>
        <w:rPr>
          <w:rFonts w:ascii="Arial" w:cs="Arial" w:eastAsia="Arial" w:hAnsi="Arial"/>
          <w:b/>
          <w:bCs/>
          <w:color w:val="2E4057"/>
          <w:sz w:val="22"/>
          <w:szCs w:val="22"/>
        </w:rPr>
        <w:t xml:space="preserve">Incidental Competencies (Rule 7)</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600"/>
        <w:gridCol w:w="720"/>
        <w:gridCol w:w="1900"/>
        <w:gridCol w:w="580"/>
        <w:gridCol w:w="5350"/>
        <w:gridCol w:w="900"/>
        <w:gridCol w:w="710"/>
      </w:tblGrid>
      <w:tr>
        <w:tc>
          <w:tcPr>
            <w:tcW w:type="dxa" w:w="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CG</w:t>
            </w:r>
          </w:p>
        </w:tc>
        <w:tc>
          <w:tcPr>
            <w:tcW w:type="dxa" w:w="72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C-Code</w:t>
            </w:r>
          </w:p>
        </w:tc>
        <w:tc>
          <w:tcPr>
            <w:tcW w:type="dxa" w:w="1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Competency</w:t>
            </w:r>
          </w:p>
        </w:tc>
        <w:tc>
          <w:tcPr>
            <w:tcW w:type="dxa" w:w="5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53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R7 Finding</w:t>
            </w:r>
          </w:p>
        </w:tc>
        <w:tc>
          <w:tcPr>
            <w:tcW w:type="dxa" w:w="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Outcome</w:t>
            </w:r>
          </w:p>
        </w:tc>
        <w:tc>
          <w:tcPr>
            <w:tcW w:type="dxa" w:w="71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RAG</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CG-2</w:t>
            </w:r>
          </w:p>
        </w:tc>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C-2.2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historical continuity — how past practices and traditions persist over time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5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Continuity observations (pilgrimage tradition 3,000+ years old; peepul tree reverence evidenced in Mohenjo-daro seals) appear within sections organised around sacredness and ecology. No section is organised around historical continuity as its primary subject. Zero designated structural elements for C-2.2. Incidental is correct.</w:t>
            </w:r>
          </w:p>
        </w:tc>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7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CG-2</w:t>
            </w:r>
          </w:p>
        </w:tc>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C-2.1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and analyse major political changes and their historical, social, and cultural impacts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5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Historical references (Vedic river worship, ancient trade routes, Kumbh Mela origin legend) appear as contextual evidence within sections organised around sacredness and geography. No section is organised around major political change as its primary subject. Zero designated structural elements for C-2.1. Incidental is correct.</w:t>
            </w:r>
          </w:p>
        </w:tc>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7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CG-3</w:t>
            </w:r>
          </w:p>
        </w:tc>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C-3.2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regional diversity and how different communities lived across the subcontinent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5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Regional diversity surfaces in sacred grove names across regions (kāvu, devare kādu, devarāī, oraṇ) and tribal community practices (Dongria Khond, Todas, Sikkim). These appear within Sacred Ecology sections organised around conservation. No section is organised around regional diversity of lived experience as its primary subject. Zero designated structural elements for C-3.2. Incidental is correct.</w:t>
            </w:r>
          </w:p>
        </w:tc>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7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CG-10</w:t>
            </w:r>
          </w:p>
        </w:tc>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C-10.1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India’s contributions to world knowledge, civilisation, and culture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5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closing sentence of ‘Restoring and Conserving the Sacred’ frames India’s sacred geography worldview as having ‘a significant contribution to make’ to global sustainability discourse. This is a concluding rhetorical framing within a section organised around conservation and degradation — not a structural element whose primary subject is India’s contribution to world knowledge. Zero designated structural elements for C-10.1. Incidental is correct.</w:t>
            </w:r>
          </w:p>
        </w:tc>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7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bl>
    <w:p>
      <w:pPr>
        <w:spacing w:after="160"/>
      </w:pPr>
      <w:r>
        <w:t xml:space="preserve"/>
      </w:r>
    </w:p>
    <w:p>
      <w:pPr>
        <w:spacing w:after="160" w:before="320"/>
      </w:pPr>
      <w:r>
        <w:rPr>
          <w:rFonts w:ascii="Arial" w:cs="Arial" w:eastAsia="Arial" w:hAnsi="Arial"/>
          <w:b/>
          <w:bCs/>
          <w:color w:val="2E4057"/>
          <w:sz w:val="26"/>
          <w:szCs w:val="26"/>
        </w:rPr>
        <w:t xml:space="preserve">Section 4 — Recommended Corrections</w:t>
      </w:r>
    </w:p>
    <w:p>
      <w:pPr>
        <w:spacing w:after="100"/>
      </w:pPr>
      <w:r>
        <w:rPr>
          <w:rFonts w:ascii="Arial" w:cs="Arial" w:eastAsia="Arial" w:hAnsi="Arial"/>
          <w:b w:val="false"/>
          <w:bCs w:val="false"/>
          <w:color w:val="000000"/>
          <w:sz w:val="20"/>
          <w:szCs w:val="20"/>
        </w:rPr>
        <w:t xml:space="preserve">Two corrections required. C-6.3 and C-7.1 weights are inverted — a rhetorical prominence error by the pipeline. C-9.1 confirmed correct at Weight 1. C-5.2 pending separate determination. Net chapter_weight impact of corrections below: zero (3↔2 swap is net neutral). C-5.2 decision will determine final chapter_weight.</w:t>
      </w:r>
    </w:p>
    <w:p>
      <w:pPr>
        <w:spacing w:after="160"/>
      </w:pPr>
      <w:r>
        <w:t xml:space="preserve"/>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800"/>
        <w:gridCol w:w="720"/>
        <w:gridCol w:w="2500"/>
        <w:gridCol w:w="3820"/>
        <w:gridCol w:w="3920"/>
      </w:tblGrid>
      <w:tr>
        <w:tc>
          <w:tcPr>
            <w:tcW w:type="dxa" w:w="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C-Code</w:t>
            </w:r>
          </w:p>
        </w:tc>
        <w:tc>
          <w:tcPr>
            <w:tcW w:type="dxa" w:w="72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RAG</w:t>
            </w:r>
          </w:p>
        </w:tc>
        <w:tc>
          <w:tcPr>
            <w:tcW w:type="dxa" w:w="2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382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What to change</w:t>
            </w:r>
          </w:p>
        </w:tc>
        <w:tc>
          <w:tcPr>
            <w:tcW w:type="dxa" w:w="392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Corrected justification / action</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C-6.3 ↔ C-7.1</w:t>
            </w:r>
          </w:p>
        </w:tc>
        <w:tc>
          <w:tcPr>
            <w:tcW w:type="dxa" w:w="7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8"/>
                <w:szCs w:val="18"/>
              </w:rPr>
              <w:t xml:space="preserve">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Pipeline inversion error: rhetorical prominence of ‘Becoming Aware of Sacred Geography’ was misread as structural centrality for C-7.1. C-6.3’s argument runs quieter but through more of the chapter’s architecture and is what the chapter is fundamentally organised around. Dissolution test passes for C-6.3, fails for C-7.1.</w:t>
            </w:r>
          </w:p>
        </w:tc>
        <w:tc>
          <w:tcPr>
            <w:tcW w:type="dxa" w:w="3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bCs/>
                <w:color w:val="000000"/>
                <w:sz w:val="18"/>
                <w:szCs w:val="18"/>
              </w:rPr>
              <w:t xml:space="preserve">C-6.3: weight field 2 → 3. Reframe justification on dissolution test.</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C-7.1: weight field 3 → 2. Reframe justification on Rule 5(a) — ‘Becoming Aware of Sacred Geography’ as primary container.</w:t>
            </w:r>
          </w:p>
          <w:p>
            <w:pPr>
              <w:spacing/>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chapter_weight: net zero (swap is −1 and +1 simultaneously).</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C-6.3 corrected justification (Weight 3, R4): The Sacred Ecology section (Rivers and Sangams, Mountains and Forests, Trees/Forests/Sacred Groves) and ‘Restoring and Conserving the Sacred’ together form the chapter’s structural spine. The chapter’s organising argument — that India’s sacred perception of the land produced ecological stewardship, and that this worldview must be revived to address degradation — is C-6.3’s domain. Remove C-6.3 and the chapter’s largest architectural block and its closing argument both dissolve. Dissolution test passes.</w:t>
            </w:r>
          </w:p>
          <w:p>
            <w:pPr>
              <w:spacing/>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C-7.1 corrected justification (Weight 2, R5a): The dedicated top-level named section ‘Becoming Aware of Sacred Geography’ is organised entirely around the argument that sacred site networks spanning India’s length and breadth produced cultural integration. Nehru’s observation in ‘Pilgrimages’ provides supporting evidence. Rule 5(a) satisfied. Dissolution test fails — Sacred Ecology sections stand without C-7.1.</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C-7.3</w:t>
            </w:r>
          </w:p>
        </w:tc>
        <w:tc>
          <w:tcPr>
            <w:tcW w:type="dxa" w:w="72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B35A00"/>
                <w:sz w:val="18"/>
                <w:szCs w:val="18"/>
              </w:rPr>
              <w:t xml:space="preserve">Orange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Justification invokes R5(b) by claiming the multi-faith inclusion theme is sustained across ‘Pilgrimages’ and ‘Becoming Aware of Sacred Geography.’ Those sections are organised around pilgrimage traditions and cultural integration, not around India’s tradition of inclusion across faiths. R5(b) claim is unsupported. Weight 2 is correct on R5(a) alone.</w:t>
            </w:r>
          </w:p>
        </w:tc>
        <w:tc>
          <w:tcPr>
            <w:tcW w:type="dxa" w:w="3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bCs/>
                <w:color w:val="000000"/>
                <w:sz w:val="18"/>
                <w:szCs w:val="18"/>
              </w:rPr>
              <w:t xml:space="preserve">Justification field only. Weight remains 2.</w:t>
            </w:r>
          </w:p>
          <w:p>
            <w:pPr>
              <w:spacing/>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Remove the R5(b) extension. Rest justification on ‘Sacred Places Across Religions’ as the sole Rule 5(a) container.</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top-level named section ‘Sacred Places Across Religions’ is architecturally distinct and could stand alone as a learning unit. Its primary subject is India’s multi-religious sacred landscape — systematically surveying sacred sites across Islam, Christianity, Judaism, Zoroastrianism, Buddhism, Sikhism, Jainism, and Hindu/folk/tribal traditions, with cross-faith visitation evidenced at Ajmer Dargah and Velankanni Church. Rule 5(a) is satisfied on this container alone.</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C-5.2</w:t>
            </w:r>
          </w:p>
        </w:tc>
        <w:tc>
          <w:tcPr>
            <w:tcW w:type="dxa" w:w="7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8"/>
                <w:szCs w:val="18"/>
              </w:rPr>
              <w:t xml:space="preserve">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Three independent failures: (1) ‘Restoring and Conserving the Sacred’ is a top-level section — Rule 6 condition 2 fails; (2) cognitive operation stated is ‘appreciate’ — an internal state, prohibited by amended Rule 6; (3) CG-5 governs inequality and marginalisation — community conservation of sacred ecology is not a response to inequality. Surface match on ‘community-level efforts’ rejected under Rule 3.</w:t>
            </w:r>
          </w:p>
        </w:tc>
        <w:tc>
          <w:tcPr>
            <w:tcW w:type="dxa" w:w="3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bCs/>
                <w:color w:val="000000"/>
                <w:sz w:val="18"/>
                <w:szCs w:val="18"/>
              </w:rPr>
              <w:t xml:space="preserve">Move C-5.2 from primary to incidental array. Pending final confirmation.</w:t>
            </w:r>
          </w:p>
          <w:p>
            <w:pPr>
              <w:spacing w:after="100"/>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Remove justification field.</w:t>
            </w:r>
          </w:p>
          <w:p>
            <w:pPr>
              <w:spacing/>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chapter_weight: −1 if confirmed (9 → 8).</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Incidental entry: { "cg": "CG-5", "c_code": "C-5.2" }</w:t>
            </w:r>
          </w:p>
          <w:p>
            <w:pPr>
              <w:spacing/>
              <w:ind w:left="220" w:hanging="22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Community protection of sacred groves and rivers does not develop C-5.2 (addressing inequality and marginalisation). Surface match on ‘community-level efforts’ is vocabulary overlap, not structural correspondence. Zero structural elements organised around inequality or social justice.</w:t>
            </w:r>
          </w:p>
        </w:tc>
      </w:tr>
    </w:tbl>
    <w:p>
      <w:pPr>
        <w:spacing w:after="160"/>
      </w:pPr>
      <w:r>
        <w:t xml:space="preserve"/>
      </w:r>
    </w:p>
    <w:p>
      <w:pPr>
        <w:spacing w:after="160" w:before="320"/>
      </w:pPr>
      <w:r>
        <w:rPr>
          <w:rFonts w:ascii="Arial" w:cs="Arial" w:eastAsia="Arial" w:hAnsi="Arial"/>
          <w:b/>
          <w:bCs/>
          <w:color w:val="2E4057"/>
          <w:sz w:val="26"/>
          <w:szCs w:val="26"/>
        </w:rPr>
        <w:t xml:space="preserve">Section 5 — Eval Log</w:t>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00"/>
        <w:gridCol w:w="900"/>
        <w:gridCol w:w="2000"/>
        <w:gridCol w:w="1500"/>
        <w:gridCol w:w="1300"/>
        <w:gridCol w:w="1100"/>
        <w:gridCol w:w="1160"/>
      </w:tblGrid>
      <w:tr>
        <w:tc>
          <w:tcPr>
            <w:tcW w:type="dxa" w:w="1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timestamp</w:t>
            </w:r>
          </w:p>
        </w:tc>
        <w:tc>
          <w:tcPr>
            <w:tcW w:type="dxa" w:w="13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subject</w:t>
            </w:r>
          </w:p>
        </w:tc>
        <w:tc>
          <w:tcPr>
            <w:tcW w:type="dxa" w:w="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grade</w:t>
            </w:r>
          </w:p>
        </w:tc>
        <w:tc>
          <w:tcPr>
            <w:tcW w:type="dxa" w:w="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chapter_no</w:t>
            </w:r>
          </w:p>
        </w:tc>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chapter_title</w:t>
            </w:r>
          </w:p>
        </w:tc>
        <w:tc>
          <w:tcPr>
            <w:tcW w:type="dxa" w:w="1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structural_errors</w:t>
            </w:r>
          </w:p>
        </w:tc>
        <w:tc>
          <w:tcPr>
            <w:tcW w:type="dxa" w:w="13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red_flags</w:t>
            </w:r>
          </w:p>
        </w:tc>
        <w:tc>
          <w:tcPr>
            <w:tcW w:type="dxa" w:w="1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orange_flags</w:t>
            </w:r>
          </w:p>
        </w:tc>
        <w:tc>
          <w:tcPr>
            <w:tcW w:type="dxa" w:w="11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outcome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2026-03-11T00:00:00Z</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social_sciences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the Land Becomes Sacred</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val="false"/>
                <w:bCs w:val="false"/>
                <w:color w:val="1A7A1A"/>
                <w:sz w:val="18"/>
                <w:szCs w:val="18"/>
              </w:rPr>
              <w:t xml:space="preserve">None</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8"/>
                <w:szCs w:val="18"/>
              </w:rPr>
              <w:t xml:space="preserve">C-6.3 (inversion), C-7.1 (inversion), C-5.2 (pending)</w:t>
            </w:r>
          </w:p>
        </w:tc>
        <w:tc>
          <w:tcPr>
            <w:tcW w:type="dxa" w:w="11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B35A00"/>
                <w:sz w:val="18"/>
                <w:szCs w:val="18"/>
              </w:rPr>
              <w:t xml:space="preserve">C-7.3</w:t>
            </w:r>
          </w:p>
        </w:tc>
        <w:tc>
          <w:tcPr>
            <w:tcW w:type="dxa" w:w="1160"/>
            <w:tcBorders>
              <w:top w:val="single" w:color="CCCCCC" w:sz="1"/>
              <w:left w:val="single" w:color="CCCCCC" w:sz="1"/>
              <w:bottom w:val="single" w:color="CCCCCC" w:sz="1"/>
              <w:right w:val="single" w:color="CCCCCC" w:sz="1"/>
            </w:tcBorders>
            <w:shd w:fill="FFF0E6" w:val="clear"/>
            <w:tcMar>
              <w:top w:type="dxa" w:w="80"/>
              <w:left w:type="dxa" w:w="120"/>
              <w:bottom w:type="dxa" w:w="80"/>
              <w:right w:type="dxa" w:w="120"/>
            </w:tcMar>
          </w:tcPr>
          <w:p>
            <w:r>
              <w:rPr>
                <w:rFonts w:ascii="Arial" w:cs="Arial" w:eastAsia="Arial" w:hAnsi="Arial"/>
                <w:b/>
                <w:bCs/>
                <w:color w:val="8B3A00"/>
                <w:sz w:val="18"/>
                <w:szCs w:val="18"/>
              </w:rPr>
              <w:t xml:space="preserve">Correct and re-run</w:t>
            </w:r>
          </w:p>
        </w:tc>
      </w:tr>
    </w:tbl>
    <w:p>
      <w:pPr>
        <w:spacing w:after="160"/>
      </w:pPr>
      <w:r>
        <w:t xml:space="preserve"/>
      </w:r>
    </w:p>
    <w:p>
      <w:pPr>
        <w:pBdr>
          <w:top w:val="single" w:color="CCCCCC" w:sz="4" w:space="1"/>
        </w:pBdr>
        <w:spacing w:before="160"/>
      </w:pPr>
      <w:r>
        <w:rPr>
          <w:rFonts w:ascii="Arial" w:cs="Arial" w:eastAsia="Arial" w:hAnsi="Arial"/>
          <w:color w:val="999999"/>
          <w:sz w:val="16"/>
          <w:szCs w:val="16"/>
        </w:rPr>
        <w:t xml:space="preserve">Aruvi · NCF 2023-Aligned Pedagogical Platform · Knowledge Commons · Chapter Mapping Evaluation · Social Sciences · Grade VII · Chapter 8 · Eval Framework V1.2</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2026-03-11T13:41:57.827Z</dcterms:created>
  <dcterms:modified xsi:type="dcterms:W3CDTF">2026-03-11T13:41:57.828Z</dcterms:modified>
</cp:coreProperties>
</file>

<file path=docProps/custom.xml><?xml version="1.0" encoding="utf-8"?>
<Properties xmlns="http://schemas.openxmlformats.org/officeDocument/2006/custom-properties" xmlns:vt="http://schemas.openxmlformats.org/officeDocument/2006/docPropsVTypes"/>
</file>