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2"/>
          <w:szCs w:val="52"/>
        </w:rPr>
        <w:t xml:space="preserve">ARUVI</w:t>
      </w:r>
    </w:p>
    <w:p>
      <w:pPr>
        <w:spacing w:before="0" w:after="60"/>
      </w:pPr>
      <w:r>
        <w:rPr>
          <w:rFonts w:ascii="Arial" w:cs="Arial" w:eastAsia="Arial" w:hAnsi="Arial"/>
          <w:b/>
          <w:bCs/>
          <w:color w:val="006666"/>
          <w:sz w:val="36"/>
          <w:szCs w:val="36"/>
        </w:rPr>
        <w:t xml:space="preserve">Knowledge Commons</w:t>
      </w:r>
    </w:p>
    <w:p>
      <w:pPr>
        <w:spacing w:before="0" w:after="200"/>
      </w:pPr>
      <w:r>
        <w:rPr>
          <w:rFonts w:ascii="Arial" w:cs="Arial" w:eastAsia="Arial" w:hAnsi="Arial"/>
          <w:i/>
          <w:iCs/>
          <w:color w:val="444444"/>
          <w:sz w:val="24"/>
          <w:szCs w:val="24"/>
        </w:rPr>
        <w:t xml:space="preserve">Why Competency is the Basis of Chapter Weights — and What That Means for Your Teaching</w:t>
      </w:r>
    </w:p>
    <w:p>
      <w:pPr>
        <w:pBdr>
          <w:bottom w:val="single" w:color="2E75B6" w:sz="4" w:space="1"/>
        </w:pBdr>
        <w:spacing w:before="160" w:after="160"/>
      </w:pPr>
      <w:r>
        <w:t xml:space="preserve"/>
      </w:r>
    </w:p>
    <w:p>
      <w:pPr>
        <w:spacing w:before="80" w:after="100"/>
      </w:pPr>
      <w:r>
        <w:rPr>
          <w:rFonts w:ascii="Arial" w:cs="Arial" w:eastAsia="Arial" w:hAnsi="Arial"/>
          <w:sz w:val="22"/>
          <w:szCs w:val="22"/>
        </w:rPr>
        <w:t xml:space="preserve">This document explains one of the most important design decisions in Aruvi: why the system uses Competencies — not Learning Outcomes, not Curricular Goals — as the basis for deciding how many periods a chapter deserves. It is written for teachers who want to understand the reasoning, and for school leaders who may be asked about it.</w:t>
      </w:r>
    </w:p>
    <w:p>
      <w:pPr>
        <w:spacing w:before="120" w:after="0"/>
      </w:pPr>
      <w:r>
        <w:t xml:space="preserve"/>
      </w:r>
    </w:p>
    <w:p>
      <w:pPr>
        <w:pStyle w:val="Heading1"/>
        <w:spacing w:before="320" w:after="160"/>
      </w:pPr>
      <w:r>
        <w:rPr>
          <w:rFonts w:ascii="Arial" w:cs="Arial" w:eastAsia="Arial" w:hAnsi="Arial"/>
          <w:b/>
          <w:bCs/>
          <w:color w:val="1F4E79"/>
          <w:sz w:val="32"/>
          <w:szCs w:val="32"/>
        </w:rPr>
        <w:t xml:space="preserve">1. The NCF's Architecture: Four Levels of Learning Standards</w:t>
      </w:r>
    </w:p>
    <w:p>
      <w:pPr>
        <w:spacing w:before="80" w:after="100"/>
      </w:pPr>
      <w:r>
        <w:rPr>
          <w:rFonts w:ascii="Arial" w:cs="Arial" w:eastAsia="Arial" w:hAnsi="Arial"/>
          <w:sz w:val="22"/>
          <w:szCs w:val="22"/>
        </w:rPr>
        <w:t xml:space="preserve">The NCF 2023 organises everything a student should learn into four levels, each more specific than the one above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Level</w:t>
            </w:r>
          </w:p>
        </w:tc>
        <w:tc>
          <w:tcPr>
            <w:tcW w:type="dxa" w:w="368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What it describes</w:t>
            </w:r>
          </w:p>
        </w:tc>
        <w:tc>
          <w:tcPr>
            <w:tcW w:type="dxa" w:w="348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Scope</w:t>
            </w:r>
          </w:p>
        </w:tc>
      </w:tr>
      <w:tr>
        <w:tc>
          <w:tcPr>
            <w:tcW w:type="dxa" w:w="22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bCs/>
                <w:sz w:val="21"/>
                <w:szCs w:val="21"/>
              </w:rPr>
              <w:t xml:space="preserve">Aims of Education</w:t>
            </w:r>
          </w:p>
        </w:tc>
        <w:tc>
          <w:tcPr>
            <w:tcW w:type="dxa" w:w="368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val="false"/>
                <w:bCs w:val="false"/>
                <w:sz w:val="21"/>
                <w:szCs w:val="21"/>
              </w:rPr>
              <w:t xml:space="preserve">The broad human purposes school education should serve — rational thought, democratic participation, cultural engagement</w:t>
            </w:r>
          </w:p>
        </w:tc>
        <w:tc>
          <w:tcPr>
            <w:tcW w:type="dxa" w:w="348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val="false"/>
                <w:bCs w:val="false"/>
                <w:sz w:val="21"/>
                <w:szCs w:val="21"/>
              </w:rPr>
              <w:t xml:space="preserve">All schools, all stages, all subjects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1"/>
                <w:szCs w:val="21"/>
              </w:rPr>
              <w:t xml:space="preserve">Curricular Aims</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sz w:val="21"/>
                <w:szCs w:val="21"/>
              </w:rPr>
              <w:t xml:space="preserve">Subject-specific ambitions for what a student should be capable of by the end of schooling</w:t>
            </w:r>
          </w:p>
        </w:tc>
        <w:tc>
          <w:tcPr>
            <w:tcW w:type="dxa" w:w="34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sz w:val="21"/>
                <w:szCs w:val="21"/>
              </w:rPr>
              <w:t xml:space="preserve">Per Curricular Area, all stages</w:t>
            </w:r>
          </w:p>
        </w:tc>
      </w:tr>
      <w:tr>
        <w:tc>
          <w:tcPr>
            <w:tcW w:type="dxa" w:w="22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bCs/>
                <w:sz w:val="21"/>
                <w:szCs w:val="21"/>
              </w:rPr>
              <w:t xml:space="preserve">Curricular Goals (CGs)</w:t>
            </w:r>
          </w:p>
        </w:tc>
        <w:tc>
          <w:tcPr>
            <w:tcW w:type="dxa" w:w="368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val="false"/>
                <w:bCs w:val="false"/>
                <w:sz w:val="21"/>
                <w:szCs w:val="21"/>
              </w:rPr>
              <w:t xml:space="preserve">Specific directional statements for curriculum development at each Stage and Subject</w:t>
            </w:r>
          </w:p>
        </w:tc>
        <w:tc>
          <w:tcPr>
            <w:tcW w:type="dxa" w:w="348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val="false"/>
                <w:bCs w:val="false"/>
                <w:sz w:val="21"/>
                <w:szCs w:val="21"/>
              </w:rPr>
              <w:t xml:space="preserve">Per Stage, per Subject</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1"/>
                <w:szCs w:val="21"/>
              </w:rPr>
              <w:t xml:space="preserve">Competencies (C-codes)</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sz w:val="21"/>
                <w:szCs w:val="21"/>
              </w:rPr>
              <w:t xml:space="preserve">Observable, assessable learning achievements derived from a CG. Expected to be attained by end of Stage</w:t>
            </w:r>
          </w:p>
        </w:tc>
        <w:tc>
          <w:tcPr>
            <w:tcW w:type="dxa" w:w="34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sz w:val="21"/>
                <w:szCs w:val="21"/>
              </w:rPr>
              <w:t xml:space="preserve">Per Stage, per Subject</w:t>
            </w:r>
          </w:p>
        </w:tc>
      </w:tr>
      <w:tr>
        <w:tc>
          <w:tcPr>
            <w:tcW w:type="dxa" w:w="22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bCs/>
                <w:sz w:val="21"/>
                <w:szCs w:val="21"/>
              </w:rPr>
              <w:t xml:space="preserve">Learning Outcomes (LOs)</w:t>
            </w:r>
          </w:p>
        </w:tc>
        <w:tc>
          <w:tcPr>
            <w:tcW w:type="dxa" w:w="368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val="false"/>
                <w:bCs w:val="false"/>
                <w:sz w:val="21"/>
                <w:szCs w:val="21"/>
              </w:rPr>
              <w:t xml:space="preserve">Granular milestones that progress in sequence toward a Competency. Grade-specific and class-specific</w:t>
            </w:r>
          </w:p>
        </w:tc>
        <w:tc>
          <w:tcPr>
            <w:tcW w:type="dxa" w:w="348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b w:val="false"/>
                <w:bCs w:val="false"/>
                <w:sz w:val="21"/>
                <w:szCs w:val="21"/>
              </w:rPr>
              <w:t xml:space="preserve">Per Grade, per Subject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66" w:sz="4"/>
              <w:left w:val="single" w:color="006666" w:sz="16"/>
              <w:bottom w:val="single" w:color="006666" w:sz="4"/>
              <w:right w:val="single" w:color="006666" w:sz="4"/>
            </w:tcBorders>
            <w:shd w:fill="E2EFEF" w:val="clear"/>
            <w:tcMar>
              <w:top w:type="dxa" w:w="120"/>
              <w:left w:type="dxa" w:w="160"/>
              <w:bottom w:type="dxa" w:w="120"/>
              <w:right w:type="dxa" w:w="160"/>
            </w:tcMar>
          </w:tcPr>
          <w:p>
            <w:r>
              <w:rPr>
                <w:rFonts w:ascii="Arial" w:cs="Arial" w:eastAsia="Arial" w:hAnsi="Arial"/>
                <w:i/>
                <w:iCs/>
                <w:sz w:val="22"/>
                <w:szCs w:val="22"/>
              </w:rPr>
              <w:t xml:space="preserve">The NCF's own description: Competencies are specific learning achievements that are observable and can be assessed systematically. They are directly derived from a Curricular Goal and are expected to be attained by the end of a Stage.</w:t>
            </w:r>
          </w:p>
        </w:tc>
      </w:tr>
    </w:tbl>
    <w:p>
      <w:pPr>
        <w:spacing w:before="120" w:after="0"/>
      </w:pPr>
      <w:r>
        <w:t xml:space="preserve"/>
      </w:r>
    </w:p>
    <w:p>
      <w:pPr>
        <w:pStyle w:val="Heading1"/>
        <w:spacing w:before="320" w:after="160"/>
      </w:pPr>
      <w:r>
        <w:rPr>
          <w:rFonts w:ascii="Arial" w:cs="Arial" w:eastAsia="Arial" w:hAnsi="Arial"/>
          <w:b/>
          <w:bCs/>
          <w:color w:val="1F4E79"/>
          <w:sz w:val="32"/>
          <w:szCs w:val="32"/>
        </w:rPr>
        <w:t xml:space="preserve">2. The Core Question: What Should a Chapter Be Weighted Against?</w:t>
      </w:r>
    </w:p>
    <w:p>
      <w:pPr>
        <w:spacing w:before="80" w:after="100"/>
      </w:pPr>
      <w:r>
        <w:rPr>
          <w:rFonts w:ascii="Arial" w:cs="Arial" w:eastAsia="Arial" w:hAnsi="Arial"/>
          <w:sz w:val="22"/>
          <w:szCs w:val="22"/>
        </w:rPr>
        <w:t xml:space="preserve">When Aruvi decides how many periods a chapter deserves, it is answering this question: what is this chapter fundamentally designed to contribute to the student's development?</w:t>
      </w:r>
    </w:p>
    <w:p>
      <w:pPr>
        <w:spacing w:before="80" w:after="100"/>
      </w:pPr>
      <w:r>
        <w:rPr>
          <w:rFonts w:ascii="Arial" w:cs="Arial" w:eastAsia="Arial" w:hAnsi="Arial"/>
          <w:sz w:val="22"/>
          <w:szCs w:val="22"/>
        </w:rPr>
        <w:t xml:space="preserve">There are three possible answers, one for each level of the framework. Understanding why two of them are wrong is as important as understanding why one is right.</w:t>
      </w:r>
    </w:p>
    <w:p>
      <w:pPr>
        <w:spacing w:before="120" w:after="0"/>
      </w:pPr>
      <w:r>
        <w:t xml:space="preserve"/>
      </w:r>
    </w:p>
    <w:p>
      <w:pPr>
        <w:pStyle w:val="Heading2"/>
        <w:spacing w:before="280" w:after="120"/>
      </w:pPr>
      <w:r>
        <w:rPr>
          <w:rFonts w:ascii="Arial" w:cs="Arial" w:eastAsia="Arial" w:hAnsi="Arial"/>
          <w:b/>
          <w:bCs/>
          <w:color w:val="006666"/>
          <w:sz w:val="26"/>
          <w:szCs w:val="26"/>
        </w:rPr>
        <w:t xml:space="preserve">Option A: Weight against Learning Outcomes</w:t>
      </w:r>
    </w:p>
    <w:p>
      <w:pPr>
        <w:spacing w:before="80" w:after="100"/>
      </w:pPr>
      <w:r>
        <w:rPr>
          <w:rFonts w:ascii="Arial" w:cs="Arial" w:eastAsia="Arial" w:hAnsi="Arial"/>
          <w:sz w:val="22"/>
          <w:szCs w:val="22"/>
        </w:rPr>
        <w:t xml:space="preserve">Learning Outcomes are the most concrete and measurable level of the framework. They specify exactly what a student should be able to do — write 180 words descriptively, identify three features of a given landform, solve a two-variable equation.</w:t>
      </w:r>
    </w:p>
    <w:p>
      <w:pPr>
        <w:spacing w:before="80" w:after="100"/>
      </w:pPr>
      <w:r>
        <w:rPr>
          <w:rFonts w:ascii="Arial" w:cs="Arial" w:eastAsia="Arial" w:hAnsi="Arial"/>
          <w:sz w:val="22"/>
          <w:szCs w:val="22"/>
        </w:rPr>
        <w:t xml:space="preserve">The problem is that LOs are grade-specific milestones on a journey toward a Competency. A single chapter contributes some LOs. Another chapter contributes more. The Competency is not realised in one chapter — it accumulates across the year and across years. If you weight a chapter against its LOs, you are measuring installment payments, not the purpose of the investment.</w:t>
      </w:r>
    </w:p>
    <w:p>
      <w:pPr>
        <w:spacing w:before="80" w:after="100"/>
      </w:pPr>
      <w:r>
        <w:rPr>
          <w:rFonts w:ascii="Arial" w:cs="Arial" w:eastAsia="Arial" w:hAnsi="Arial"/>
          <w:sz w:val="22"/>
          <w:szCs w:val="22"/>
        </w:rPr>
        <w:t xml:space="preserve">There is a second problem. LOs are so granular that two chapters covering very different content could have similar LOs. The weighting would become about surface activity — what students do — rather than about what capacity is being built. That is not what NCF intends.</w:t>
      </w:r>
    </w:p>
    <w:p>
      <w:pPr>
        <w:spacing w:before="80" w:after="0"/>
      </w:pPr>
      <w:r>
        <w:t xml:space="preserve"/>
      </w:r>
    </w:p>
    <w:p>
      <w:pPr>
        <w:pStyle w:val="Heading2"/>
        <w:spacing w:before="280" w:after="120"/>
      </w:pPr>
      <w:r>
        <w:rPr>
          <w:rFonts w:ascii="Arial" w:cs="Arial" w:eastAsia="Arial" w:hAnsi="Arial"/>
          <w:b/>
          <w:bCs/>
          <w:color w:val="006666"/>
          <w:sz w:val="26"/>
          <w:szCs w:val="26"/>
        </w:rPr>
        <w:t xml:space="preserve">Option B: Weight against Curricular Goals</w:t>
      </w:r>
    </w:p>
    <w:p>
      <w:pPr>
        <w:spacing w:before="80" w:after="100"/>
      </w:pPr>
      <w:r>
        <w:rPr>
          <w:rFonts w:ascii="Arial" w:cs="Arial" w:eastAsia="Arial" w:hAnsi="Arial"/>
          <w:sz w:val="22"/>
          <w:szCs w:val="22"/>
        </w:rPr>
        <w:t xml:space="preserve">Curricular Goals are directional statements. CG-8 for Middle Stage Social Science reads: Understand and appreciate the process of development of the Constitution of India and uphold its importance to promote democratic values. That is a destination, not a measurable achievement.</w:t>
      </w:r>
    </w:p>
    <w:p>
      <w:pPr>
        <w:spacing w:before="80" w:after="100"/>
      </w:pPr>
      <w:r>
        <w:rPr>
          <w:rFonts w:ascii="Arial" w:cs="Arial" w:eastAsia="Arial" w:hAnsi="Arial"/>
          <w:sz w:val="22"/>
          <w:szCs w:val="22"/>
        </w:rPr>
        <w:t xml:space="preserve">A chapter either points toward a CG or it does not. You cannot meaningfully say one chapter is more aligned to CG-8 than another because the CG does not specify what observable achievement it requires. Multiple chapters can serve the same CG without any of them being more or less 'CG-aligned' in a way that justifies differential period allocation.</w:t>
      </w:r>
    </w:p>
    <w:p>
      <w:pPr>
        <w:spacing w:before="80" w:after="0"/>
      </w:pPr>
      <w:r>
        <w:t xml:space="preserve"/>
      </w:r>
    </w:p>
    <w:p>
      <w:pPr>
        <w:pStyle w:val="Heading2"/>
        <w:spacing w:before="280" w:after="120"/>
      </w:pPr>
      <w:r>
        <w:rPr>
          <w:rFonts w:ascii="Arial" w:cs="Arial" w:eastAsia="Arial" w:hAnsi="Arial"/>
          <w:b/>
          <w:bCs/>
          <w:color w:val="006666"/>
          <w:sz w:val="26"/>
          <w:szCs w:val="26"/>
        </w:rPr>
        <w:t xml:space="preserve">Option C: Weight against Competencies — the correct choice</w:t>
      </w:r>
    </w:p>
    <w:p>
      <w:pPr>
        <w:spacing w:before="80" w:after="100"/>
      </w:pPr>
      <w:r>
        <w:rPr>
          <w:rFonts w:ascii="Arial" w:cs="Arial" w:eastAsia="Arial" w:hAnsi="Arial"/>
          <w:sz w:val="22"/>
          <w:szCs w:val="22"/>
        </w:rPr>
        <w:t xml:space="preserve">Competencies occupy precisely the right position in the hierarchy. They are specific enough to be observable and assessable. They are broad enough to apply at Stage level across multiple chapters. They are the unit the NCF explicitly says should govern summative assessment at the end of a Stage.</w:t>
      </w:r>
    </w:p>
    <w:p>
      <w:pPr>
        <w:spacing w:before="80" w:after="100"/>
      </w:pPr>
      <w:r>
        <w:rPr>
          <w:rFonts w:ascii="Arial" w:cs="Arial" w:eastAsia="Arial" w:hAnsi="Arial"/>
          <w:sz w:val="22"/>
          <w:szCs w:val="22"/>
        </w:rPr>
        <w:t xml:space="preserve">Most importantly: a chapter either develops a Competency centrally, substantively, or incidentally — and that distinction is visible in the chapter's own architecture. How is the chapter organised? What do its activities ask students to do? What do its questions test? These structural features reveal which Competencies the chapter is genuinely built around, and at what depth.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A800" w:sz="4"/>
              <w:left w:val="single" w:color="C7A800" w:sz="16"/>
              <w:bottom w:val="single" w:color="C7A800" w:sz="4"/>
              <w:right w:val="single" w:color="C7A800" w:sz="4"/>
            </w:tcBorders>
            <w:shd w:fill="FFF2CC" w:val="clear"/>
            <w:tcMar>
              <w:top w:type="dxa" w:w="120"/>
              <w:left w:type="dxa" w:w="160"/>
              <w:bottom w:type="dxa" w:w="120"/>
              <w:right w:type="dxa" w:w="160"/>
            </w:tcMar>
          </w:tcPr>
          <w:p>
            <w:r>
              <w:rPr>
                <w:rFonts w:ascii="Arial" w:cs="Arial" w:eastAsia="Arial" w:hAnsi="Arial"/>
                <w:i/>
                <w:iCs/>
                <w:sz w:val="22"/>
                <w:szCs w:val="22"/>
              </w:rPr>
              <w:t xml:space="preserve">The Competency is the correct weighting unit because it is simultaneously: observable and assessable (unlike CGs which are directional), Stage-level and chapter-transcendent (unlike LOs which are grade-bound and granular), and structurally derivable from chapter architecture rather than from keyword matching.</w:t>
            </w:r>
          </w:p>
        </w:tc>
      </w:tr>
    </w:tbl>
    <w:p>
      <w:pPr>
        <w:spacing w:before="120" w:after="0"/>
      </w:pPr>
      <w:r>
        <w:t xml:space="preserve"/>
      </w:r>
    </w:p>
    <w:p>
      <w:pPr>
        <w:pStyle w:val="Heading1"/>
        <w:spacing w:before="320" w:after="160"/>
      </w:pPr>
      <w:r>
        <w:rPr>
          <w:rFonts w:ascii="Arial" w:cs="Arial" w:eastAsia="Arial" w:hAnsi="Arial"/>
          <w:b/>
          <w:bCs/>
          <w:color w:val="1F4E79"/>
          <w:sz w:val="32"/>
          <w:szCs w:val="32"/>
        </w:rPr>
        <w:t xml:space="preserve">3. What the Three Weight Levels Mean</w:t>
      </w:r>
    </w:p>
    <w:p>
      <w:pPr>
        <w:spacing w:before="80" w:after="100"/>
      </w:pPr>
      <w:r>
        <w:rPr>
          <w:rFonts w:ascii="Arial" w:cs="Arial" w:eastAsia="Arial" w:hAnsi="Arial"/>
          <w:sz w:val="22"/>
          <w:szCs w:val="22"/>
        </w:rPr>
        <w:t xml:space="preserve">Once the system identifies which Competencies a chapter develops, it assigns each a weight of 3, 2, or 1. This is not a score of how well the chapter teaches. It is a structural judgment about the chapter's relationship to the Competency.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0"/>
                <w:szCs w:val="20"/>
              </w:rPr>
              <w:t xml:space="preserve">Label</w:t>
            </w:r>
          </w:p>
        </w:tc>
        <w:tc>
          <w:tcPr>
            <w:tcW w:type="dxa" w:w="31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0"/>
                <w:szCs w:val="20"/>
              </w:rPr>
              <w:t xml:space="preserve">What it means structurally</w:t>
            </w:r>
          </w:p>
        </w:tc>
        <w:tc>
          <w:tcPr>
            <w:tcW w:type="dxa" w:w="30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0"/>
                <w:szCs w:val="20"/>
              </w:rPr>
              <w:t xml:space="preserve">How to recognise it</w:t>
            </w:r>
          </w:p>
        </w:tc>
      </w:tr>
      <w:tr>
        <w:tc>
          <w:tcPr>
            <w:tcW w:type="dxa" w:w="12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Central</w:t>
            </w:r>
          </w:p>
        </w:tc>
        <w:tc>
          <w:tcPr>
            <w:tcW w:type="dxa" w:w="316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The chapter's entire organisation serves this Competency. Remove it and the chapter has no purpose.</w:t>
            </w:r>
          </w:p>
        </w:tc>
        <w:tc>
          <w:tcPr>
            <w:tcW w:type="dxa" w:w="30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The chapter title, its major sections, its activities, and its closing questions all point to this Competency.</w:t>
            </w:r>
          </w:p>
        </w:tc>
      </w:tr>
      <w:tr>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Substantive</w:t>
            </w:r>
          </w:p>
        </w:tc>
        <w:tc>
          <w:tcPr>
            <w:tcW w:type="dxa" w:w="3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The chapter devotes dedicated sections or activities to this Competency, but shares the chapter with other equally significant ones.</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There are two or three paragraphs or a full activity block specifically designed around this Competency.</w:t>
            </w:r>
          </w:p>
        </w:tc>
      </w:tr>
      <w:tr>
        <w:tc>
          <w:tcPr>
            <w:tcW w:type="dxa" w:w="12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Present</w:t>
            </w:r>
          </w:p>
        </w:tc>
        <w:tc>
          <w:tcPr>
            <w:tcW w:type="dxa" w:w="316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The Competency appears genuinely but briefly — a paragraph, a sidebar, one activity. It is there but would not justify allocating extra periods.</w:t>
            </w:r>
          </w:p>
        </w:tc>
        <w:tc>
          <w:tcPr>
            <w:tcW w:type="dxa" w:w="3000"/>
            <w:tcBorders>
              <w:top w:val="single" w:color="CCCCCC" w:sz="1"/>
              <w:left w:val="single" w:color="CCCCCC" w:sz="1"/>
              <w:bottom w:val="single" w:color="CCCCCC" w:sz="1"/>
              <w:right w:val="single" w:color="CCCCCC" w:sz="1"/>
            </w:tcBorders>
            <w:shd w:fill="F0F5FA" w:val="clear"/>
            <w:tcMar>
              <w:top w:type="dxa" w:w="120"/>
              <w:left w:type="dxa" w:w="160"/>
              <w:bottom w:type="dxa" w:w="120"/>
              <w:right w:type="dxa" w:w="160"/>
            </w:tcMar>
          </w:tcPr>
          <w:p>
            <w:r>
              <w:rPr>
                <w:rFonts w:ascii="Arial" w:cs="Arial" w:eastAsia="Arial" w:hAnsi="Arial"/>
                <w:sz w:val="20"/>
                <w:szCs w:val="20"/>
              </w:rPr>
              <w:t xml:space="preserve">One activity or one discussion prompt touches this Competency, but it is not the chapter's focus.</w:t>
            </w:r>
          </w:p>
        </w:tc>
      </w:tr>
      <w:tr>
        <w:tc>
          <w:tcPr>
            <w:tcW w:type="dxa" w:w="1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Incidental</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(not weighted)</w:t>
            </w:r>
          </w:p>
        </w:tc>
        <w:tc>
          <w:tcPr>
            <w:tcW w:type="dxa" w:w="3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The Competency arises naturally from the content but is not taught with any deliberate depth. It is noted but does not affect period allocation.</w:t>
            </w:r>
          </w:p>
        </w:tc>
        <w:tc>
          <w:tcPr>
            <w:tcW w:type="dxa" w:w="3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The content mentions or implies this Competency, but no activity, question, or section is organised around developing it.</w:t>
            </w:r>
          </w:p>
        </w:tc>
      </w:tr>
    </w:tbl>
    <w:p>
      <w:pPr>
        <w:spacing w:before="160" w:after="0"/>
      </w:pPr>
      <w:r>
        <w:t xml:space="preserve"/>
      </w:r>
    </w:p>
    <w:p>
      <w:pPr>
        <w:spacing w:before="80" w:after="100"/>
      </w:pPr>
      <w:r>
        <w:rPr>
          <w:rFonts w:ascii="Arial" w:cs="Arial" w:eastAsia="Arial" w:hAnsi="Arial"/>
          <w:sz w:val="22"/>
          <w:szCs w:val="22"/>
        </w:rPr>
        <w:t xml:space="preserve">A chapter's total weight — which determines its period allocation — is the sum of all its primary weights (weights 1, 2, and 3). A chapter with competencies weighted 3 + 3 + 2 + 2 has a chapter weight of 10. A chapter with one competency weighted 3 has a chapter weight of 3. The period budget is distributed proportionate to these totals across all chapters in the plan.</w:t>
      </w:r>
    </w:p>
    <w:p>
      <w:pPr>
        <w:spacing w:before="120" w:after="0"/>
      </w:pPr>
      <w:r>
        <w:t xml:space="preserve"/>
      </w:r>
    </w:p>
    <w:p>
      <w:pPr>
        <w:pStyle w:val="Heading1"/>
        <w:spacing w:before="320" w:after="160"/>
      </w:pPr>
      <w:r>
        <w:rPr>
          <w:rFonts w:ascii="Arial" w:cs="Arial" w:eastAsia="Arial" w:hAnsi="Arial"/>
          <w:b/>
          <w:bCs/>
          <w:color w:val="1F4E79"/>
          <w:sz w:val="32"/>
          <w:szCs w:val="32"/>
        </w:rPr>
        <w:t xml:space="preserve">4. Why Learning Outcomes Are Not Used for Weighting — A Direct Answer</w:t>
      </w:r>
    </w:p>
    <w:p>
      <w:pPr>
        <w:spacing w:before="80" w:after="100"/>
      </w:pPr>
      <w:r>
        <w:rPr>
          <w:rFonts w:ascii="Arial" w:cs="Arial" w:eastAsia="Arial" w:hAnsi="Arial"/>
          <w:sz w:val="22"/>
          <w:szCs w:val="22"/>
        </w:rPr>
        <w:t xml:space="preserve">This is the question teachers most often raise, and it deserves a direct answer rather than a structural one.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none" w:color="FFFFFF" w:sz="0"/>
              <w:right w:val="none" w:color="FFFFFF" w:sz="0"/>
            </w:tcBorders>
            <w:shd w:fill="DEEAF1" w:val="clear"/>
            <w:tcMar>
              <w:top w:type="dxa" w:w="120"/>
              <w:left w:type="dxa" w:w="160"/>
              <w:bottom w:type="dxa" w:w="120"/>
              <w:right w:type="dxa" w:w="16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My daily teaching targets Learning Outcomes. If Aruvi ignores them, is it disconnected from what I actually do?</w:t>
            </w:r>
          </w:p>
        </w:tc>
      </w:tr>
      <w:tr>
        <w:tc>
          <w:tcPr>
            <w:tcW w:type="dxa" w:w="9360"/>
            <w:tcBorders>
              <w:top w:val="none" w:color="FFFFFF" w:sz="0"/>
              <w:left w:val="single" w:color="AAAAAA" w:sz="12"/>
              <w:bottom w:val="single" w:color="CCCCCC" w:sz="1"/>
              <w:right w:val="none" w:color="FFFFFF" w:sz="0"/>
            </w:tcBorders>
            <w:shd w:fill="F8FBFD" w:val="clear"/>
            <w:tcMar>
              <w:top w:type="dxa" w:w="120"/>
              <w:left w:type="dxa" w:w="160"/>
              <w:bottom w:type="dxa" w:w="120"/>
              <w:right w:type="dxa" w:w="160"/>
            </w:tcMar>
          </w:tcPr>
          <w:p>
            <w:r>
              <w:rPr>
                <w:rFonts w:ascii="Arial" w:cs="Arial" w:eastAsia="Arial" w:hAnsi="Arial"/>
                <w:b/>
                <w:bCs/>
                <w:color w:val="006666"/>
                <w:sz w:val="22"/>
                <w:szCs w:val="22"/>
              </w:rPr>
              <w:t xml:space="preserve">A: </w:t>
            </w:r>
            <w:r>
              <w:rPr>
                <w:rFonts w:ascii="Arial" w:cs="Arial" w:eastAsia="Arial" w:hAnsi="Arial"/>
                <w:sz w:val="22"/>
                <w:szCs w:val="22"/>
              </w:rPr>
              <w:t xml:space="preserve">No. Aruvi uses Competencies to decide how many periods a chapter deserves. Once you are inside those periods, your lesson plan — which Aruvi also generates — is grounded in Learning Outcomes. The two tools work at different levels. The annual plan allocates time using Competencies. The lesson plan designs activity using Learning Outcomes. They are both present in the system; they are just used for different purposes.</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none" w:color="FFFFFF" w:sz="0"/>
              <w:right w:val="none" w:color="FFFFFF" w:sz="0"/>
            </w:tcBorders>
            <w:shd w:fill="DEEAF1" w:val="clear"/>
            <w:tcMar>
              <w:top w:type="dxa" w:w="120"/>
              <w:left w:type="dxa" w:w="160"/>
              <w:bottom w:type="dxa" w:w="120"/>
              <w:right w:type="dxa" w:w="16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If I achieve all the Learning Outcomes for a chapter, have I developed the Competency?</w:t>
            </w:r>
          </w:p>
        </w:tc>
      </w:tr>
      <w:tr>
        <w:tc>
          <w:tcPr>
            <w:tcW w:type="dxa" w:w="9360"/>
            <w:tcBorders>
              <w:top w:val="none" w:color="FFFFFF" w:sz="0"/>
              <w:left w:val="single" w:color="AAAAAA" w:sz="12"/>
              <w:bottom w:val="single" w:color="CCCCCC" w:sz="1"/>
              <w:right w:val="none" w:color="FFFFFF" w:sz="0"/>
            </w:tcBorders>
            <w:shd w:fill="F8FBFD" w:val="clear"/>
            <w:tcMar>
              <w:top w:type="dxa" w:w="120"/>
              <w:left w:type="dxa" w:w="160"/>
              <w:bottom w:type="dxa" w:w="120"/>
              <w:right w:type="dxa" w:w="160"/>
            </w:tcMar>
          </w:tcPr>
          <w:p>
            <w:r>
              <w:rPr>
                <w:rFonts w:ascii="Arial" w:cs="Arial" w:eastAsia="Arial" w:hAnsi="Arial"/>
                <w:b/>
                <w:bCs/>
                <w:color w:val="006666"/>
                <w:sz w:val="22"/>
                <w:szCs w:val="22"/>
              </w:rPr>
              <w:t xml:space="preserve">A: </w:t>
            </w:r>
            <w:r>
              <w:rPr>
                <w:rFonts w:ascii="Arial" w:cs="Arial" w:eastAsia="Arial" w:hAnsi="Arial"/>
                <w:sz w:val="22"/>
                <w:szCs w:val="22"/>
              </w:rPr>
              <w:t xml:space="preserve">You have made a contribution toward it. Competencies are Stage-end achievements — they accumulate across multiple chapters over multiple years. Achieving the LOs for one chapter means students have reached one milestone on that journey, not that the Competency is complete. This is why a chapter is weighted against the Competency it develops, not the LOs it achieves — the Competency is the destination; the LOs are waypoints.</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none" w:color="FFFFFF" w:sz="0"/>
              <w:right w:val="none" w:color="FFFFFF" w:sz="0"/>
            </w:tcBorders>
            <w:shd w:fill="DEEAF1" w:val="clear"/>
            <w:tcMar>
              <w:top w:type="dxa" w:w="120"/>
              <w:left w:type="dxa" w:w="160"/>
              <w:bottom w:type="dxa" w:w="120"/>
              <w:right w:type="dxa" w:w="16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not just give more periods to chapters with more Learning Outcomes?</w:t>
            </w:r>
          </w:p>
        </w:tc>
      </w:tr>
      <w:tr>
        <w:tc>
          <w:tcPr>
            <w:tcW w:type="dxa" w:w="9360"/>
            <w:tcBorders>
              <w:top w:val="none" w:color="FFFFFF" w:sz="0"/>
              <w:left w:val="single" w:color="AAAAAA" w:sz="12"/>
              <w:bottom w:val="single" w:color="CCCCCC" w:sz="1"/>
              <w:right w:val="none" w:color="FFFFFF" w:sz="0"/>
            </w:tcBorders>
            <w:shd w:fill="F8FBFD" w:val="clear"/>
            <w:tcMar>
              <w:top w:type="dxa" w:w="120"/>
              <w:left w:type="dxa" w:w="160"/>
              <w:bottom w:type="dxa" w:w="120"/>
              <w:right w:type="dxa" w:w="160"/>
            </w:tcMar>
          </w:tcPr>
          <w:p>
            <w:r>
              <w:rPr>
                <w:rFonts w:ascii="Arial" w:cs="Arial" w:eastAsia="Arial" w:hAnsi="Arial"/>
                <w:b/>
                <w:bCs/>
                <w:color w:val="006666"/>
                <w:sz w:val="22"/>
                <w:szCs w:val="22"/>
              </w:rPr>
              <w:t xml:space="preserve">A: </w:t>
            </w:r>
            <w:r>
              <w:rPr>
                <w:rFonts w:ascii="Arial" w:cs="Arial" w:eastAsia="Arial" w:hAnsi="Arial"/>
                <w:sz w:val="22"/>
                <w:szCs w:val="22"/>
              </w:rPr>
              <w:t xml:space="preserve">Because the number of LOs is a function of how the textbook is written, not of how important the chapter is to the student's overall development. A chapter with six narrow LOs may develop only one Competency at weight 1. A chapter with two broad LOs may develop three Competencies at weights 3, 3, and 2. Period allocation by LO count would reward textbook verbosity, not pedagogical significance.</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2E75B6" w:sz="12"/>
              <w:bottom w:val="none" w:color="FFFFFF" w:sz="0"/>
              <w:right w:val="none" w:color="FFFFFF" w:sz="0"/>
            </w:tcBorders>
            <w:shd w:fill="DEEAF1" w:val="clear"/>
            <w:tcMar>
              <w:top w:type="dxa" w:w="120"/>
              <w:left w:type="dxa" w:w="160"/>
              <w:bottom w:type="dxa" w:w="120"/>
              <w:right w:type="dxa" w:w="16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Does Aruvi use Learning Outcomes at all?</w:t>
            </w:r>
          </w:p>
        </w:tc>
      </w:tr>
      <w:tr>
        <w:tc>
          <w:tcPr>
            <w:tcW w:type="dxa" w:w="9360"/>
            <w:tcBorders>
              <w:top w:val="none" w:color="FFFFFF" w:sz="0"/>
              <w:left w:val="single" w:color="AAAAAA" w:sz="12"/>
              <w:bottom w:val="single" w:color="CCCCCC" w:sz="1"/>
              <w:right w:val="none" w:color="FFFFFF" w:sz="0"/>
            </w:tcBorders>
            <w:shd w:fill="F8FBFD" w:val="clear"/>
            <w:tcMar>
              <w:top w:type="dxa" w:w="120"/>
              <w:left w:type="dxa" w:w="160"/>
              <w:bottom w:type="dxa" w:w="120"/>
              <w:right w:type="dxa" w:w="160"/>
            </w:tcMar>
          </w:tcPr>
          <w:p>
            <w:r>
              <w:rPr>
                <w:rFonts w:ascii="Arial" w:cs="Arial" w:eastAsia="Arial" w:hAnsi="Arial"/>
                <w:b/>
                <w:bCs/>
                <w:color w:val="006666"/>
                <w:sz w:val="22"/>
                <w:szCs w:val="22"/>
              </w:rPr>
              <w:t xml:space="preserve">A: </w:t>
            </w:r>
            <w:r>
              <w:rPr>
                <w:rFonts w:ascii="Arial" w:cs="Arial" w:eastAsia="Arial" w:hAnsi="Arial"/>
                <w:sz w:val="22"/>
                <w:szCs w:val="22"/>
              </w:rPr>
              <w:t xml:space="preserve">Yes — in lesson plan generation. When the system designs the period-by-period plan for a chapter, it draws on grade-specific Learning Outcomes to determine what is achievable at that grade level and to sequence activities appropriately. LOs are used where they belong: at the activity-planning level, not at the period-allocation level.</w:t>
            </w:r>
          </w:p>
        </w:tc>
      </w:tr>
    </w:tbl>
    <w:p>
      <w:pPr>
        <w:spacing w:before="120" w:after="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5. The Practical Consequence: What Changes in Your School</w:t>
      </w:r>
    </w:p>
    <w:p>
      <w:pPr>
        <w:spacing w:before="80" w:after="100"/>
      </w:pPr>
      <w:r>
        <w:rPr>
          <w:rFonts w:ascii="Arial" w:cs="Arial" w:eastAsia="Arial" w:hAnsi="Arial"/>
          <w:sz w:val="22"/>
          <w:szCs w:val="22"/>
        </w:rPr>
        <w:t xml:space="preserve">Most schools currently allocate periods to chapters in one of two ways: equal split (divide total periods by number of chapters) or department head intuition (experienced judgment about which chapters need more time). Neither approach can be defended in an NCF compliance audit, and neither is grounded in what the framework actually asks schools to achieve.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Current Practice</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What It Optimises For</w:t>
            </w:r>
          </w:p>
        </w:tc>
        <w:tc>
          <w:tcPr>
            <w:tcW w:type="dxa" w:w="312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What Gets Sacrificed</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Equal split across chapters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Simplicity and fairness to chapters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Chapters with high competency weight are under-served; chapters with low weight consume time disproportionately</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HoD intuition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Experience and familiarity with content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Consistency across teachers; defensibility in audits; alignment with NCF's own competency logic</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Aruvi's competency-weighted allocation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NCF Competency development across the stage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val="false"/>
                <w:bCs w:val="false"/>
                <w:color w:val="000000"/>
                <w:sz w:val="21"/>
                <w:szCs w:val="21"/>
              </w:rPr>
              <w:t xml:space="preserve">Nothing — gaps are surfaced as alerts for the Principal's awareness, not hidden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66" w:sz="4"/>
              <w:left w:val="single" w:color="006666" w:sz="16"/>
              <w:bottom w:val="single" w:color="006666" w:sz="4"/>
              <w:right w:val="single" w:color="006666" w:sz="4"/>
            </w:tcBorders>
            <w:shd w:fill="E2EFEF" w:val="clear"/>
            <w:tcMar>
              <w:top w:type="dxa" w:w="120"/>
              <w:left w:type="dxa" w:w="160"/>
              <w:bottom w:type="dxa" w:w="120"/>
              <w:right w:type="dxa" w:w="160"/>
            </w:tcMar>
          </w:tcPr>
          <w:p>
            <w:r>
              <w:rPr>
                <w:rFonts w:ascii="Arial" w:cs="Arial" w:eastAsia="Arial" w:hAnsi="Arial"/>
                <w:i/>
                <w:iCs/>
                <w:sz w:val="22"/>
                <w:szCs w:val="22"/>
              </w:rPr>
              <w:t xml:space="preserve">What IB schools pay curriculum coordinators lakhs of rupees to produce — a documented, defensible, framework-aligned annual plan — Aruvi produces automatically. The competency-weighted chapter allocation is the core of that defensibility.</w:t>
            </w:r>
          </w:p>
        </w:tc>
      </w:tr>
    </w:tbl>
    <w:p>
      <w:pPr>
        <w:spacing w:before="120" w:after="0"/>
      </w:pPr>
      <w:r>
        <w:t xml:space="preserve"/>
      </w:r>
    </w:p>
    <w:p>
      <w:pPr>
        <w:pStyle w:val="Heading1"/>
        <w:spacing w:before="320" w:after="160"/>
      </w:pPr>
      <w:r>
        <w:rPr>
          <w:rFonts w:ascii="Arial" w:cs="Arial" w:eastAsia="Arial" w:hAnsi="Arial"/>
          <w:b/>
          <w:bCs/>
          <w:color w:val="1F4E79"/>
          <w:sz w:val="32"/>
          <w:szCs w:val="32"/>
        </w:rPr>
        <w:t xml:space="preserve">6. Quick Reference: The Conceptual Decisions Behind This Design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Decision</w:t>
            </w:r>
          </w:p>
        </w:tc>
        <w:tc>
          <w:tcPr>
            <w:tcW w:type="dxa" w:w="57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1"/>
                <w:szCs w:val="21"/>
              </w:rPr>
              <w:t xml:space="preserve">Reasoning</w:t>
            </w:r>
          </w:p>
        </w:tc>
      </w:tr>
      <w:tr>
        <w:tc>
          <w:tcPr>
            <w:tcW w:type="dxa" w:w="3600"/>
            <w:tcBorders>
              <w:top w:val="single" w:color="CCCCCC" w:sz="1"/>
              <w:left w:val="single" w:color="CCCCCC" w:sz="1"/>
              <w:bottom w:val="single" w:color="CCCCCC" w:sz="1"/>
              <w:right w:val="single" w:color="CCCCCC" w:sz="1"/>
            </w:tcBorders>
            <w:shd w:fill="DEEAF1" w:val="clear"/>
            <w:tcMar>
              <w:top w:type="dxa" w:w="120"/>
              <w:left w:type="dxa" w:w="160"/>
              <w:bottom w:type="dxa" w:w="120"/>
              <w:right w:type="dxa" w:w="160"/>
            </w:tcMar>
          </w:tcPr>
          <w:p>
            <w:r>
              <w:rPr>
                <w:rFonts w:ascii="Arial" w:cs="Arial" w:eastAsia="Arial" w:hAnsi="Arial"/>
                <w:b/>
                <w:bCs/>
                <w:sz w:val="21"/>
                <w:szCs w:val="21"/>
              </w:rPr>
              <w:t xml:space="preserve">Why not Curricular Goals?</w:t>
            </w:r>
          </w:p>
        </w:tc>
        <w:tc>
          <w:tcPr>
            <w:tcW w:type="dxa" w:w="5760"/>
            <w:tcBorders>
              <w:top w:val="single" w:color="CCCCCC" w:sz="1"/>
              <w:left w:val="single" w:color="CCCCCC" w:sz="1"/>
              <w:bottom w:val="single" w:color="CCCCCC" w:sz="1"/>
              <w:right w:val="single" w:color="CCCCCC" w:sz="1"/>
            </w:tcBorders>
            <w:shd w:fill="F8FBFD" w:val="clear"/>
            <w:tcMar>
              <w:top w:type="dxa" w:w="120"/>
              <w:left w:type="dxa" w:w="160"/>
              <w:bottom w:type="dxa" w:w="120"/>
              <w:right w:type="dxa" w:w="160"/>
            </w:tcMar>
          </w:tcPr>
          <w:p>
            <w:r>
              <w:rPr>
                <w:rFonts w:ascii="Arial" w:cs="Arial" w:eastAsia="Arial" w:hAnsi="Arial"/>
                <w:sz w:val="21"/>
                <w:szCs w:val="21"/>
              </w:rPr>
              <w:t xml:space="preserve">CGs are directional, not measurable. You cannot differentiate how much a chapter serves a CG versus another chapter serving the same CG. No structural weighting is possible.</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1"/>
                <w:szCs w:val="21"/>
              </w:rPr>
              <w:t xml:space="preserve">Why not Learning Outcomes?</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1"/>
                <w:szCs w:val="21"/>
              </w:rPr>
              <w:t xml:space="preserve">LOs are grade-bound milestones. They measure what happens in one lesson, not what the chapter is fundamentally for. Using them for period allocation rewards textbook granularity, not pedagogical purpose.</w:t>
            </w:r>
          </w:p>
        </w:tc>
      </w:tr>
      <w:tr>
        <w:tc>
          <w:tcPr>
            <w:tcW w:type="dxa" w:w="3600"/>
            <w:tcBorders>
              <w:top w:val="single" w:color="CCCCCC" w:sz="1"/>
              <w:left w:val="single" w:color="CCCCCC" w:sz="1"/>
              <w:bottom w:val="single" w:color="CCCCCC" w:sz="1"/>
              <w:right w:val="single" w:color="CCCCCC" w:sz="1"/>
            </w:tcBorders>
            <w:shd w:fill="DEEAF1" w:val="clear"/>
            <w:tcMar>
              <w:top w:type="dxa" w:w="120"/>
              <w:left w:type="dxa" w:w="160"/>
              <w:bottom w:type="dxa" w:w="120"/>
              <w:right w:type="dxa" w:w="160"/>
            </w:tcMar>
          </w:tcPr>
          <w:p>
            <w:r>
              <w:rPr>
                <w:rFonts w:ascii="Arial" w:cs="Arial" w:eastAsia="Arial" w:hAnsi="Arial"/>
                <w:b/>
                <w:bCs/>
                <w:sz w:val="21"/>
                <w:szCs w:val="21"/>
              </w:rPr>
              <w:t xml:space="preserve">Why Competencies?</w:t>
            </w:r>
          </w:p>
        </w:tc>
        <w:tc>
          <w:tcPr>
            <w:tcW w:type="dxa" w:w="5760"/>
            <w:tcBorders>
              <w:top w:val="single" w:color="CCCCCC" w:sz="1"/>
              <w:left w:val="single" w:color="CCCCCC" w:sz="1"/>
              <w:bottom w:val="single" w:color="CCCCCC" w:sz="1"/>
              <w:right w:val="single" w:color="CCCCCC" w:sz="1"/>
            </w:tcBorders>
            <w:shd w:fill="F8FBFD" w:val="clear"/>
            <w:tcMar>
              <w:top w:type="dxa" w:w="120"/>
              <w:left w:type="dxa" w:w="160"/>
              <w:bottom w:type="dxa" w:w="120"/>
              <w:right w:type="dxa" w:w="160"/>
            </w:tcMar>
          </w:tcPr>
          <w:p>
            <w:r>
              <w:rPr>
                <w:rFonts w:ascii="Arial" w:cs="Arial" w:eastAsia="Arial" w:hAnsi="Arial"/>
                <w:sz w:val="21"/>
                <w:szCs w:val="21"/>
              </w:rPr>
              <w:t xml:space="preserve">Competencies are observable, Stage-level, and structurally derivable from chapter architecture. They are what summative assessment is based on. They are the right unit of account for time allocation.</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1"/>
                <w:szCs w:val="21"/>
              </w:rPr>
              <w:t xml:space="preserve">Why weight 3/2/1 and not a percentage?</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1"/>
                <w:szCs w:val="21"/>
              </w:rPr>
              <w:t xml:space="preserve">Structural evidence about a chapter's relationship to a Competency supports three defensible levels: central, substantive, and present. Finer gradations would require judgment calls the system cannot make honestly from chapter text alone.</w:t>
            </w:r>
          </w:p>
        </w:tc>
      </w:tr>
      <w:tr>
        <w:tc>
          <w:tcPr>
            <w:tcW w:type="dxa" w:w="3600"/>
            <w:tcBorders>
              <w:top w:val="single" w:color="CCCCCC" w:sz="1"/>
              <w:left w:val="single" w:color="CCCCCC" w:sz="1"/>
              <w:bottom w:val="single" w:color="CCCCCC" w:sz="1"/>
              <w:right w:val="single" w:color="CCCCCC" w:sz="1"/>
            </w:tcBorders>
            <w:shd w:fill="DEEAF1" w:val="clear"/>
            <w:tcMar>
              <w:top w:type="dxa" w:w="120"/>
              <w:left w:type="dxa" w:w="160"/>
              <w:bottom w:type="dxa" w:w="120"/>
              <w:right w:type="dxa" w:w="160"/>
            </w:tcMar>
          </w:tcPr>
          <w:p>
            <w:r>
              <w:rPr>
                <w:rFonts w:ascii="Arial" w:cs="Arial" w:eastAsia="Arial" w:hAnsi="Arial"/>
                <w:b/>
                <w:bCs/>
                <w:sz w:val="21"/>
                <w:szCs w:val="21"/>
              </w:rPr>
              <w:t xml:space="preserve">Why are incidental competencies not weighted?</w:t>
            </w:r>
          </w:p>
        </w:tc>
        <w:tc>
          <w:tcPr>
            <w:tcW w:type="dxa" w:w="5760"/>
            <w:tcBorders>
              <w:top w:val="single" w:color="CCCCCC" w:sz="1"/>
              <w:left w:val="single" w:color="CCCCCC" w:sz="1"/>
              <w:bottom w:val="single" w:color="CCCCCC" w:sz="1"/>
              <w:right w:val="single" w:color="CCCCCC" w:sz="1"/>
            </w:tcBorders>
            <w:shd w:fill="F8FBFD" w:val="clear"/>
            <w:tcMar>
              <w:top w:type="dxa" w:w="120"/>
              <w:left w:type="dxa" w:w="160"/>
              <w:bottom w:type="dxa" w:w="120"/>
              <w:right w:type="dxa" w:w="160"/>
            </w:tcMar>
          </w:tcPr>
          <w:p>
            <w:r>
              <w:rPr>
                <w:rFonts w:ascii="Arial" w:cs="Arial" w:eastAsia="Arial" w:hAnsi="Arial"/>
                <w:sz w:val="21"/>
                <w:szCs w:val="21"/>
              </w:rPr>
              <w:t xml:space="preserve">An incidental competency arises from content but is not taught with deliberate depth. Counting it in period allocation would misrepresent what the chapter actually develops and distort the annual plan.</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1"/>
                <w:szCs w:val="21"/>
              </w:rPr>
              <w:t xml:space="preserve">Why is this the same operation for inception and replanning?</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1"/>
                <w:szCs w:val="21"/>
              </w:rPr>
              <w:t xml:space="preserve">The system doesn't track state. At the start of the year all chapters are active; mid-year, completed chapters are unchecked and remaining periods entered. Same logic, same defensibility, no complexity added.</w:t>
            </w:r>
          </w:p>
        </w:tc>
      </w:tr>
    </w:tbl>
    <w:p>
      <w:pPr>
        <w:spacing w:before="200" w:after="0"/>
      </w:pPr>
      <w:r>
        <w:t xml:space="preserve"/>
      </w:r>
    </w:p>
    <w:p>
      <w:pPr>
        <w:pBdr>
          <w:bottom w:val="single" w:color="2E75B6" w:sz="4" w:space="1"/>
        </w:pBdr>
        <w:spacing w:before="160" w:after="160"/>
      </w:pPr>
      <w:r>
        <w:t xml:space="preserve"/>
      </w:r>
    </w:p>
    <w:p>
      <w:pPr>
        <w:spacing w:before="120" w:after="0"/>
      </w:pPr>
      <w:r>
        <w:rPr>
          <w:rFonts w:ascii="Arial" w:cs="Arial" w:eastAsia="Arial" w:hAnsi="Arial"/>
          <w:i/>
          <w:iCs/>
          <w:color w:val="888888"/>
          <w:sz w:val="18"/>
          <w:szCs w:val="18"/>
        </w:rPr>
        <w:t xml:space="preserve">Aruvi — NCF 2023-Aligned Pedagogical Platform  |  Knowledge Commons  |  Internal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066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2026-02-26T13:29:17.364Z</dcterms:created>
  <dcterms:modified xsi:type="dcterms:W3CDTF">2026-02-26T13:29:17.365Z</dcterms:modified>
</cp:coreProperties>
</file>

<file path=docProps/custom.xml><?xml version="1.0" encoding="utf-8"?>
<Properties xmlns="http://schemas.openxmlformats.org/officeDocument/2006/custom-properties" xmlns:vt="http://schemas.openxmlformats.org/officeDocument/2006/docPropsVTypes"/>
</file>