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6B1" w14:paraId="177F9E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6B6B"/>
            <w:tcMar>
              <w:top w:w="400" w:type="dxa"/>
              <w:left w:w="400" w:type="dxa"/>
              <w:bottom w:w="400" w:type="dxa"/>
              <w:right w:w="400" w:type="dxa"/>
            </w:tcMar>
          </w:tcPr>
          <w:p w14:paraId="4DF51F89" w14:textId="77777777" w:rsidR="002336B1" w:rsidRDefault="00000000">
            <w:pPr>
              <w:spacing w:after="120"/>
              <w:jc w:val="center"/>
            </w:pPr>
            <w:r>
              <w:rPr>
                <w:rFonts w:cs="Arial"/>
                <w:b/>
                <w:bCs/>
                <w:color w:val="FFFFFF"/>
                <w:sz w:val="48"/>
                <w:szCs w:val="48"/>
              </w:rPr>
              <w:t>ARUVI</w:t>
            </w:r>
          </w:p>
          <w:p w14:paraId="4FC7AEB9" w14:textId="77777777" w:rsidR="002336B1" w:rsidRDefault="00000000">
            <w:pPr>
              <w:spacing w:after="160"/>
              <w:jc w:val="center"/>
            </w:pPr>
            <w:r>
              <w:rPr>
                <w:rFonts w:cs="Arial"/>
                <w:color w:val="C5E0E0"/>
                <w:sz w:val="26"/>
                <w:szCs w:val="26"/>
              </w:rPr>
              <w:t>Knowledge Commons</w:t>
            </w:r>
          </w:p>
          <w:p w14:paraId="3A86D4E3" w14:textId="77777777" w:rsidR="002336B1" w:rsidRDefault="00000000">
            <w:pPr>
              <w:spacing w:after="120"/>
              <w:jc w:val="center"/>
            </w:pPr>
            <w:r>
              <w:rPr>
                <w:rFonts w:cs="Arial"/>
                <w:b/>
                <w:bCs/>
                <w:color w:val="FFFFFF"/>
                <w:sz w:val="32"/>
                <w:szCs w:val="32"/>
              </w:rPr>
              <w:t>The Thinking Behind the Lesson Plan Constitution</w:t>
            </w:r>
          </w:p>
          <w:p w14:paraId="61A1CE99" w14:textId="77777777" w:rsidR="002336B1" w:rsidRDefault="00000000">
            <w:pPr>
              <w:jc w:val="center"/>
            </w:pPr>
            <w:r>
              <w:rPr>
                <w:rFonts w:cs="Arial"/>
                <w:i/>
                <w:iCs/>
                <w:color w:val="C5E0E0"/>
              </w:rPr>
              <w:t>Architectural Decisions · Design Principles · Rationale</w:t>
            </w:r>
          </w:p>
        </w:tc>
      </w:tr>
    </w:tbl>
    <w:p w14:paraId="15DE08E0" w14:textId="77777777" w:rsidR="002336B1" w:rsidRDefault="002336B1">
      <w:pPr>
        <w:spacing w:before="4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8061"/>
      </w:tblGrid>
      <w:tr w:rsidR="002336B1" w14:paraId="606102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6B6B"/>
            <w:tcMar>
              <w:top w:w="120" w:type="dxa"/>
              <w:left w:w="160" w:type="dxa"/>
              <w:bottom w:w="120" w:type="dxa"/>
              <w:right w:w="160" w:type="dxa"/>
            </w:tcMar>
            <w:vAlign w:val="center"/>
          </w:tcPr>
          <w:p w14:paraId="020731CD" w14:textId="77777777" w:rsidR="002336B1" w:rsidRDefault="00000000">
            <w:pPr>
              <w:jc w:val="center"/>
            </w:pPr>
            <w:r>
              <w:rPr>
                <w:rFonts w:cs="Arial"/>
                <w:b/>
                <w:bCs/>
                <w:color w:val="FFFFFF"/>
                <w:sz w:val="20"/>
                <w:szCs w:val="20"/>
              </w:rPr>
              <w:t>PURPOSE</w:t>
            </w:r>
          </w:p>
        </w:tc>
        <w:tc>
          <w:tcPr>
            <w:tcW w:w="8160" w:type="dxa"/>
            <w:tcBorders>
              <w:top w:val="single" w:sz="1" w:space="0" w:color="CCCCCC"/>
              <w:left w:val="single" w:sz="1" w:space="0" w:color="CCCCCC"/>
              <w:bottom w:val="single" w:sz="1" w:space="0" w:color="CCCCCC"/>
              <w:right w:val="single" w:sz="1" w:space="0" w:color="CCCCCC"/>
            </w:tcBorders>
            <w:shd w:val="clear" w:color="auto" w:fill="E8F4F4"/>
            <w:tcMar>
              <w:top w:w="120" w:type="dxa"/>
              <w:left w:w="200" w:type="dxa"/>
              <w:bottom w:w="120" w:type="dxa"/>
              <w:right w:w="160" w:type="dxa"/>
            </w:tcMar>
          </w:tcPr>
          <w:p w14:paraId="690E3054" w14:textId="77777777" w:rsidR="002336B1" w:rsidRDefault="00000000">
            <w:r>
              <w:rPr>
                <w:rFonts w:cs="Arial"/>
                <w:i/>
                <w:iCs/>
                <w:color w:val="1A1A1A"/>
              </w:rPr>
              <w:t>This document records the design thinking and architectural decisions made during the development of Aruvi's Lesson Plan Constitution. It is intended for the knowledge commons so that future contributors understand not just what the constitution says, but why it says it.</w:t>
            </w:r>
          </w:p>
        </w:tc>
      </w:tr>
    </w:tbl>
    <w:p w14:paraId="04B6303F" w14:textId="77777777" w:rsidR="002336B1" w:rsidRDefault="002336B1">
      <w:pPr>
        <w:spacing w:before="200" w:after="200"/>
      </w:pPr>
    </w:p>
    <w:p w14:paraId="5C65A153" w14:textId="77777777" w:rsidR="002336B1" w:rsidRDefault="002336B1">
      <w:pPr>
        <w:pBdr>
          <w:bottom w:val="single" w:sz="4" w:space="1" w:color="C5E0E0"/>
        </w:pBdr>
        <w:spacing w:before="200" w:after="200"/>
      </w:pPr>
    </w:p>
    <w:p w14:paraId="41EACF15" w14:textId="77777777" w:rsidR="002336B1" w:rsidRDefault="00000000">
      <w:pPr>
        <w:pStyle w:val="Heading1"/>
      </w:pPr>
      <w:r>
        <w:t>1. The Starting Point: What the Constitution Must Not Do</w:t>
      </w:r>
    </w:p>
    <w:p w14:paraId="681741FA" w14:textId="77777777" w:rsidR="002336B1" w:rsidRDefault="00000000">
      <w:pPr>
        <w:spacing w:before="80" w:after="120" w:line="320" w:lineRule="auto"/>
      </w:pPr>
      <w:r>
        <w:rPr>
          <w:rFonts w:cs="Arial"/>
          <w:color w:val="1A1A1A"/>
        </w:rPr>
        <w:t>The lesson plan constitution was designed under a single governing constraint that preceded all other decisions: it must not re-enact the work already done by the chapter mapping constitution.</w:t>
      </w:r>
    </w:p>
    <w:p w14:paraId="5F4AFC7E" w14:textId="77777777" w:rsidR="002336B1" w:rsidRDefault="00000000">
      <w:pPr>
        <w:spacing w:before="80" w:after="120" w:line="320" w:lineRule="auto"/>
      </w:pPr>
      <w:r>
        <w:rPr>
          <w:rFonts w:cs="Arial"/>
          <w:color w:val="1A1A1A"/>
        </w:rPr>
        <w:t>The chapter mapping process — run once during the build phase — already performs the heavy cognitive work of identifying which competencies a chapter naturally offers, assigning weight scores based on how central each competency is to the chapter's content and structure, and generating a structured chapter summary that mirrors the textbook's own organisation. This pre-computed output is stored in the Chapter Mapping JSON and is the authoritative, settled record of what each chapter offers.</w:t>
      </w:r>
    </w:p>
    <w:p w14:paraId="5AC56475" w14:textId="77777777" w:rsidR="002336B1" w:rsidRDefault="00000000">
      <w:pPr>
        <w:spacing w:before="80" w:after="120" w:line="320" w:lineRule="auto"/>
      </w:pPr>
      <w:r>
        <w:rPr>
          <w:rFonts w:cs="Arial"/>
          <w:color w:val="1A1A1A"/>
        </w:rPr>
        <w:t>Any document or instruction in the lesson plan constitution that causes the AI to re-examine, re-select, or re-evaluate competencies at generation time is therefore not just redundant — it actively undermines the architecture. It reopens settled questions under worse conditions: less context, more token pressure, and no subject expert validation.</w:t>
      </w:r>
    </w:p>
    <w:p w14:paraId="61ABD1EA" w14:textId="77777777" w:rsidR="002336B1" w:rsidRDefault="002336B1">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336B1" w14:paraId="0D37D5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6B6B"/>
            <w:tcMar>
              <w:top w:w="120" w:type="dxa"/>
              <w:left w:w="160" w:type="dxa"/>
              <w:bottom w:w="120" w:type="dxa"/>
              <w:right w:w="160" w:type="dxa"/>
            </w:tcMar>
            <w:vAlign w:val="center"/>
          </w:tcPr>
          <w:p w14:paraId="17A0F00D" w14:textId="77777777" w:rsidR="002336B1" w:rsidRDefault="00000000">
            <w:pPr>
              <w:jc w:val="center"/>
            </w:pPr>
            <w:r>
              <w:rPr>
                <w:rFonts w:cs="Arial"/>
                <w:b/>
                <w:bCs/>
                <w:color w:val="FFFFFF"/>
                <w:sz w:val="20"/>
                <w:szCs w:val="20"/>
              </w:rPr>
              <w:t>CORE RULE</w:t>
            </w:r>
          </w:p>
        </w:tc>
        <w:tc>
          <w:tcPr>
            <w:tcW w:w="8160" w:type="dxa"/>
            <w:tcBorders>
              <w:top w:val="single" w:sz="1" w:space="0" w:color="CCCCCC"/>
              <w:left w:val="single" w:sz="1" w:space="0" w:color="CCCCCC"/>
              <w:bottom w:val="single" w:sz="1" w:space="0" w:color="CCCCCC"/>
              <w:right w:val="single" w:sz="1" w:space="0" w:color="CCCCCC"/>
            </w:tcBorders>
            <w:shd w:val="clear" w:color="auto" w:fill="E8F4F4"/>
            <w:tcMar>
              <w:top w:w="120" w:type="dxa"/>
              <w:left w:w="200" w:type="dxa"/>
              <w:bottom w:w="120" w:type="dxa"/>
              <w:right w:w="160" w:type="dxa"/>
            </w:tcMar>
          </w:tcPr>
          <w:p w14:paraId="1425E7BC" w14:textId="77777777" w:rsidR="002336B1" w:rsidRDefault="00000000">
            <w:r>
              <w:rPr>
                <w:rFonts w:cs="Arial"/>
                <w:i/>
                <w:iCs/>
                <w:color w:val="1A1A1A"/>
              </w:rPr>
              <w:t>The lesson plan generator's task is generative, not evaluative. Competencies are given. The generator's job is to build a time-constrained, pedagogically sound period structure that delivers students to those competencies. Nothing more.</w:t>
            </w:r>
          </w:p>
        </w:tc>
      </w:tr>
    </w:tbl>
    <w:p w14:paraId="32172C55" w14:textId="77777777" w:rsidR="002336B1" w:rsidRDefault="002336B1">
      <w:pPr>
        <w:spacing w:before="40" w:after="160"/>
      </w:pPr>
    </w:p>
    <w:p w14:paraId="3E0C920B" w14:textId="77777777" w:rsidR="002336B1" w:rsidRDefault="002336B1">
      <w:pPr>
        <w:pBdr>
          <w:bottom w:val="single" w:sz="4" w:space="1" w:color="C5E0E0"/>
        </w:pBdr>
        <w:spacing w:before="200" w:after="200"/>
      </w:pPr>
    </w:p>
    <w:p w14:paraId="034B8FAF" w14:textId="77777777" w:rsidR="002336B1" w:rsidRDefault="00000000">
      <w:pPr>
        <w:pStyle w:val="Heading1"/>
      </w:pPr>
      <w:r>
        <w:t>2. Establishing the Minimal Document Set</w:t>
      </w:r>
    </w:p>
    <w:p w14:paraId="04D3DE55" w14:textId="77777777" w:rsidR="002336B1" w:rsidRDefault="00000000">
      <w:pPr>
        <w:spacing w:before="80" w:after="120" w:line="320" w:lineRule="auto"/>
      </w:pPr>
      <w:r>
        <w:rPr>
          <w:rFonts w:cs="Arial"/>
          <w:color w:val="1A1A1A"/>
        </w:rPr>
        <w:t>The first substantive question was: which documents are minimally required to generate a lesson plan? The criterion was strict — a document must be genuinely load-bearing, not merely useful. It must be actually used in generation without creating conflicts with other documents or causing the system to enter iterative loops.</w:t>
      </w:r>
    </w:p>
    <w:p w14:paraId="4F05075F" w14:textId="77777777" w:rsidR="002336B1" w:rsidRDefault="00000000">
      <w:pPr>
        <w:spacing w:before="80" w:after="120" w:line="320" w:lineRule="auto"/>
      </w:pPr>
      <w:r>
        <w:rPr>
          <w:rFonts w:cs="Arial"/>
          <w:color w:val="1A1A1A"/>
        </w:rPr>
        <w:t>Two independent analyses were conducted: one from the Aruvi architectural perspective, and one from NotebookLM working directly from the actual NCF documents for Social Science Class VII. The comparison was instructive.</w:t>
      </w:r>
    </w:p>
    <w:p w14:paraId="0EF8A399" w14:textId="77777777" w:rsidR="002336B1" w:rsidRDefault="002336B1">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2336B1" w14:paraId="084EFF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6B6B"/>
            <w:tcMar>
              <w:top w:w="100" w:type="dxa"/>
              <w:left w:w="140" w:type="dxa"/>
              <w:bottom w:w="100" w:type="dxa"/>
              <w:right w:w="140" w:type="dxa"/>
            </w:tcMar>
          </w:tcPr>
          <w:p w14:paraId="73A8D97B" w14:textId="77777777" w:rsidR="002336B1" w:rsidRDefault="00000000">
            <w:r>
              <w:rPr>
                <w:rFonts w:cs="Arial"/>
                <w:b/>
                <w:bCs/>
                <w:color w:val="FFFFFF"/>
                <w:sz w:val="21"/>
                <w:szCs w:val="21"/>
              </w:rPr>
              <w:t>Document</w:t>
            </w:r>
          </w:p>
        </w:tc>
        <w:tc>
          <w:tcPr>
            <w:tcW w:w="3080" w:type="dxa"/>
            <w:tcBorders>
              <w:top w:val="single" w:sz="1" w:space="0" w:color="CCCCCC"/>
              <w:left w:val="single" w:sz="1" w:space="0" w:color="CCCCCC"/>
              <w:bottom w:val="single" w:sz="1" w:space="0" w:color="CCCCCC"/>
              <w:right w:val="single" w:sz="1" w:space="0" w:color="CCCCCC"/>
            </w:tcBorders>
            <w:shd w:val="clear" w:color="auto" w:fill="1B6B6B"/>
            <w:tcMar>
              <w:top w:w="100" w:type="dxa"/>
              <w:left w:w="140" w:type="dxa"/>
              <w:bottom w:w="100" w:type="dxa"/>
              <w:right w:w="140" w:type="dxa"/>
            </w:tcMar>
          </w:tcPr>
          <w:p w14:paraId="2FAC26AA" w14:textId="77777777" w:rsidR="002336B1" w:rsidRDefault="00000000">
            <w:r>
              <w:rPr>
                <w:rFonts w:cs="Arial"/>
                <w:b/>
                <w:bCs/>
                <w:color w:val="FFFFFF"/>
                <w:sz w:val="21"/>
                <w:szCs w:val="21"/>
              </w:rPr>
              <w:t>Aruvi Analysis</w:t>
            </w:r>
          </w:p>
        </w:tc>
        <w:tc>
          <w:tcPr>
            <w:tcW w:w="3080" w:type="dxa"/>
            <w:tcBorders>
              <w:top w:val="single" w:sz="1" w:space="0" w:color="CCCCCC"/>
              <w:left w:val="single" w:sz="1" w:space="0" w:color="CCCCCC"/>
              <w:bottom w:val="single" w:sz="1" w:space="0" w:color="CCCCCC"/>
              <w:right w:val="single" w:sz="1" w:space="0" w:color="CCCCCC"/>
            </w:tcBorders>
            <w:shd w:val="clear" w:color="auto" w:fill="1B6B6B"/>
            <w:tcMar>
              <w:top w:w="100" w:type="dxa"/>
              <w:left w:w="140" w:type="dxa"/>
              <w:bottom w:w="100" w:type="dxa"/>
              <w:right w:w="140" w:type="dxa"/>
            </w:tcMar>
          </w:tcPr>
          <w:p w14:paraId="7A541FA5" w14:textId="77777777" w:rsidR="002336B1" w:rsidRDefault="00000000">
            <w:r>
              <w:rPr>
                <w:rFonts w:cs="Arial"/>
                <w:b/>
                <w:bCs/>
                <w:color w:val="FFFFFF"/>
                <w:sz w:val="21"/>
                <w:szCs w:val="21"/>
              </w:rPr>
              <w:t>NotebookLM Analysis</w:t>
            </w:r>
          </w:p>
        </w:tc>
      </w:tr>
      <w:tr w:rsidR="002336B1" w14:paraId="3A86A0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59B121D8" w14:textId="77777777" w:rsidR="002336B1" w:rsidRDefault="00000000">
            <w:r>
              <w:rPr>
                <w:rFonts w:cs="Arial"/>
                <w:color w:val="1A1A1A"/>
                <w:sz w:val="21"/>
                <w:szCs w:val="21"/>
              </w:rPr>
              <w:t>Learning Outcomes</w:t>
            </w:r>
          </w:p>
        </w:tc>
        <w:tc>
          <w:tcPr>
            <w:tcW w:w="30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7B6C4650" w14:textId="77777777" w:rsidR="002336B1" w:rsidRDefault="00000000">
            <w:r>
              <w:rPr>
                <w:rFonts w:cs="Arial"/>
                <w:color w:val="1A1A1A"/>
                <w:sz w:val="21"/>
                <w:szCs w:val="21"/>
              </w:rPr>
              <w:t>Required — age-appropriate anchors</w:t>
            </w:r>
          </w:p>
        </w:tc>
        <w:tc>
          <w:tcPr>
            <w:tcW w:w="30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03D26C05" w14:textId="77777777" w:rsidR="002336B1" w:rsidRDefault="00000000">
            <w:r>
              <w:rPr>
                <w:rFonts w:cs="Arial"/>
                <w:color w:val="1A1A1A"/>
                <w:sz w:val="21"/>
                <w:szCs w:val="21"/>
              </w:rPr>
              <w:t>Required — granular milestones</w:t>
            </w:r>
          </w:p>
        </w:tc>
      </w:tr>
      <w:tr w:rsidR="002336B1" w14:paraId="74C6A7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BAFC0A" w14:textId="77777777" w:rsidR="002336B1" w:rsidRDefault="00000000">
            <w:r>
              <w:rPr>
                <w:rFonts w:cs="Arial"/>
                <w:color w:val="1A1A1A"/>
                <w:sz w:val="21"/>
                <w:szCs w:val="21"/>
              </w:rPr>
              <w:t>Pedagogy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63FFD8" w14:textId="77777777" w:rsidR="002336B1" w:rsidRDefault="00000000">
            <w:r>
              <w:rPr>
                <w:rFonts w:cs="Arial"/>
                <w:color w:val="1A1A1A"/>
                <w:sz w:val="21"/>
                <w:szCs w:val="21"/>
              </w:rPr>
              <w:t>Required — activity structure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5AF71C" w14:textId="77777777" w:rsidR="002336B1" w:rsidRDefault="00000000">
            <w:r>
              <w:rPr>
                <w:rFonts w:cs="Arial"/>
                <w:color w:val="1A1A1A"/>
                <w:sz w:val="21"/>
                <w:szCs w:val="21"/>
              </w:rPr>
              <w:t>Required — sanctioned strategies</w:t>
            </w:r>
          </w:p>
        </w:tc>
      </w:tr>
      <w:tr w:rsidR="002336B1" w14:paraId="2D6BF7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04108657" w14:textId="77777777" w:rsidR="002336B1" w:rsidRDefault="00000000">
            <w:r>
              <w:rPr>
                <w:rFonts w:cs="Arial"/>
                <w:color w:val="1A1A1A"/>
                <w:sz w:val="21"/>
                <w:szCs w:val="21"/>
              </w:rPr>
              <w:t>Curricular Goals</w:t>
            </w:r>
          </w:p>
        </w:tc>
        <w:tc>
          <w:tcPr>
            <w:tcW w:w="30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08FE7760" w14:textId="77777777" w:rsidR="002336B1" w:rsidRDefault="00000000">
            <w:r>
              <w:rPr>
                <w:rFonts w:cs="Arial"/>
                <w:color w:val="1A1A1A"/>
                <w:sz w:val="21"/>
                <w:szCs w:val="21"/>
              </w:rPr>
              <w:t>Required — C-code meaning resolution</w:t>
            </w:r>
          </w:p>
        </w:tc>
        <w:tc>
          <w:tcPr>
            <w:tcW w:w="30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25364118" w14:textId="77777777" w:rsidR="002336B1" w:rsidRDefault="00000000">
            <w:r>
              <w:rPr>
                <w:rFonts w:cs="Arial"/>
                <w:color w:val="1A1A1A"/>
                <w:sz w:val="21"/>
                <w:szCs w:val="21"/>
              </w:rPr>
              <w:t>Excluded — redundant if LOs present</w:t>
            </w:r>
          </w:p>
        </w:tc>
      </w:tr>
      <w:tr w:rsidR="002336B1" w14:paraId="7AE0A6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001C44" w14:textId="77777777" w:rsidR="002336B1" w:rsidRDefault="00000000">
            <w:r>
              <w:rPr>
                <w:rFonts w:cs="Arial"/>
                <w:color w:val="1A1A1A"/>
                <w:sz w:val="21"/>
                <w:szCs w:val="21"/>
              </w:rPr>
              <w:t>Syllabus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49265B" w14:textId="77777777" w:rsidR="002336B1" w:rsidRDefault="00000000">
            <w:r>
              <w:rPr>
                <w:rFonts w:cs="Arial"/>
                <w:color w:val="1A1A1A"/>
                <w:sz w:val="21"/>
                <w:szCs w:val="21"/>
              </w:rPr>
              <w:t>Excluded — absorbed into JSON summary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51601B" w14:textId="77777777" w:rsidR="002336B1" w:rsidRDefault="00000000">
            <w:r>
              <w:rPr>
                <w:rFonts w:cs="Arial"/>
                <w:color w:val="1A1A1A"/>
                <w:sz w:val="21"/>
                <w:szCs w:val="21"/>
              </w:rPr>
              <w:t>Required — content boundary</w:t>
            </w:r>
          </w:p>
        </w:tc>
      </w:tr>
      <w:tr w:rsidR="002336B1" w14:paraId="40FF2A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17653885" w14:textId="77777777" w:rsidR="002336B1" w:rsidRDefault="00000000">
            <w:r>
              <w:rPr>
                <w:rFonts w:cs="Arial"/>
                <w:color w:val="1A1A1A"/>
                <w:sz w:val="21"/>
                <w:szCs w:val="21"/>
              </w:rPr>
              <w:t>Chapter Mapping JSON</w:t>
            </w:r>
          </w:p>
        </w:tc>
        <w:tc>
          <w:tcPr>
            <w:tcW w:w="30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21360B7A" w14:textId="77777777" w:rsidR="002336B1" w:rsidRDefault="00000000">
            <w:r>
              <w:rPr>
                <w:rFonts w:cs="Arial"/>
                <w:color w:val="1A1A1A"/>
                <w:sz w:val="21"/>
                <w:szCs w:val="21"/>
              </w:rPr>
              <w:t>Required — content spine</w:t>
            </w:r>
          </w:p>
        </w:tc>
        <w:tc>
          <w:tcPr>
            <w:tcW w:w="30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316313E6" w14:textId="77777777" w:rsidR="002336B1" w:rsidRDefault="00000000">
            <w:r>
              <w:rPr>
                <w:rFonts w:cs="Arial"/>
                <w:color w:val="1A1A1A"/>
                <w:sz w:val="21"/>
                <w:szCs w:val="21"/>
              </w:rPr>
              <w:t>Not considered (Aruvi-specific)</w:t>
            </w:r>
          </w:p>
        </w:tc>
      </w:tr>
      <w:tr w:rsidR="002336B1" w14:paraId="46A581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0CA46C" w14:textId="77777777" w:rsidR="002336B1" w:rsidRDefault="00000000">
            <w:r>
              <w:rPr>
                <w:rFonts w:cs="Arial"/>
                <w:color w:val="1A1A1A"/>
                <w:sz w:val="21"/>
                <w:szCs w:val="21"/>
              </w:rPr>
              <w:t>Teacher Manual</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0C7583" w14:textId="77777777" w:rsidR="002336B1" w:rsidRDefault="00000000">
            <w:r>
              <w:rPr>
                <w:rFonts w:cs="Arial"/>
                <w:color w:val="1A1A1A"/>
                <w:sz w:val="21"/>
                <w:szCs w:val="21"/>
              </w:rPr>
              <w:t>Excluded — conflict with time constraint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04F7DC" w14:textId="77777777" w:rsidR="002336B1" w:rsidRDefault="00000000">
            <w:r>
              <w:rPr>
                <w:rFonts w:cs="Arial"/>
                <w:color w:val="1A1A1A"/>
                <w:sz w:val="21"/>
                <w:szCs w:val="21"/>
              </w:rPr>
              <w:t>Required (where available)</w:t>
            </w:r>
          </w:p>
        </w:tc>
      </w:tr>
      <w:tr w:rsidR="002336B1" w14:paraId="48C07D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5666B9E9" w14:textId="77777777" w:rsidR="002336B1" w:rsidRDefault="00000000">
            <w:r>
              <w:rPr>
                <w:rFonts w:cs="Arial"/>
                <w:color w:val="1A1A1A"/>
                <w:sz w:val="21"/>
                <w:szCs w:val="21"/>
              </w:rPr>
              <w:t>Learning Standards</w:t>
            </w:r>
          </w:p>
        </w:tc>
        <w:tc>
          <w:tcPr>
            <w:tcW w:w="30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3DF6FD61" w14:textId="77777777" w:rsidR="002336B1" w:rsidRDefault="00000000">
            <w:r>
              <w:rPr>
                <w:rFonts w:cs="Arial"/>
                <w:color w:val="1A1A1A"/>
                <w:sz w:val="21"/>
                <w:szCs w:val="21"/>
              </w:rPr>
              <w:t>Excluded — too abstract</w:t>
            </w:r>
          </w:p>
        </w:tc>
        <w:tc>
          <w:tcPr>
            <w:tcW w:w="30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476354FE" w14:textId="77777777" w:rsidR="002336B1" w:rsidRDefault="00000000">
            <w:r>
              <w:rPr>
                <w:rFonts w:cs="Arial"/>
                <w:color w:val="1A1A1A"/>
                <w:sz w:val="21"/>
                <w:szCs w:val="21"/>
              </w:rPr>
              <w:t>Excluded — too abstract</w:t>
            </w:r>
          </w:p>
        </w:tc>
      </w:tr>
      <w:tr w:rsidR="002336B1" w14:paraId="51492D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9D4592" w14:textId="77777777" w:rsidR="002336B1" w:rsidRDefault="00000000">
            <w:r>
              <w:rPr>
                <w:rFonts w:cs="Arial"/>
                <w:color w:val="1A1A1A"/>
                <w:sz w:val="21"/>
                <w:szCs w:val="21"/>
              </w:rPr>
              <w:t>Assessment Framework</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82A01E" w14:textId="77777777" w:rsidR="002336B1" w:rsidRDefault="00000000">
            <w:r>
              <w:rPr>
                <w:rFonts w:cs="Arial"/>
                <w:color w:val="1A1A1A"/>
                <w:sz w:val="21"/>
                <w:szCs w:val="21"/>
              </w:rPr>
              <w:t>Excluded — too broad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4593EF" w14:textId="77777777" w:rsidR="002336B1" w:rsidRDefault="00000000">
            <w:r>
              <w:rPr>
                <w:rFonts w:cs="Arial"/>
                <w:color w:val="1A1A1A"/>
                <w:sz w:val="21"/>
                <w:szCs w:val="21"/>
              </w:rPr>
              <w:t>Excluded — summative, not daily</w:t>
            </w:r>
          </w:p>
        </w:tc>
      </w:tr>
    </w:tbl>
    <w:p w14:paraId="7F5F0893" w14:textId="77777777" w:rsidR="002336B1" w:rsidRDefault="002336B1">
      <w:pPr>
        <w:spacing w:before="200" w:after="120"/>
      </w:pPr>
    </w:p>
    <w:p w14:paraId="7BD8F8E4" w14:textId="77777777" w:rsidR="002336B1" w:rsidRDefault="00000000">
      <w:pPr>
        <w:spacing w:before="80" w:after="120" w:line="320" w:lineRule="auto"/>
      </w:pPr>
      <w:r>
        <w:rPr>
          <w:rFonts w:cs="Arial"/>
          <w:color w:val="1A1A1A"/>
        </w:rPr>
        <w:t>The disagreement resolved into one fundamental question: was NotebookLM reasoning about a generic lesson plan generator working from raw NCF documents, or about Aruvi's generator working from pre-computed chapter mappings? Once this was clarified, the two analyses converged on a shared minimal set with one key Aruvi-specific addition: the Chapter Mapping JSON.</w:t>
      </w:r>
    </w:p>
    <w:p w14:paraId="4DD14F05" w14:textId="77777777" w:rsidR="002336B1" w:rsidRDefault="002336B1">
      <w:pPr>
        <w:pBdr>
          <w:bottom w:val="single" w:sz="4" w:space="1" w:color="C5E0E0"/>
        </w:pBdr>
        <w:spacing w:before="200" w:after="200"/>
      </w:pPr>
    </w:p>
    <w:p w14:paraId="71D146F5" w14:textId="77777777" w:rsidR="002336B1" w:rsidRDefault="00000000">
      <w:pPr>
        <w:pStyle w:val="Heading1"/>
      </w:pPr>
      <w:r>
        <w:lastRenderedPageBreak/>
        <w:t>3. Key Decisions on Individual Documents</w:t>
      </w:r>
    </w:p>
    <w:p w14:paraId="049C2489" w14:textId="77777777" w:rsidR="002336B1" w:rsidRDefault="00000000">
      <w:pPr>
        <w:pStyle w:val="Heading2"/>
      </w:pPr>
      <w:r>
        <w:t>3.1 Curricular Goals — Lookup Only</w:t>
      </w:r>
    </w:p>
    <w:p w14:paraId="75325516" w14:textId="77777777" w:rsidR="002336B1" w:rsidRDefault="00000000">
      <w:pPr>
        <w:spacing w:before="80" w:after="120" w:line="320" w:lineRule="auto"/>
      </w:pPr>
      <w:r>
        <w:rPr>
          <w:rFonts w:cs="Arial"/>
          <w:color w:val="1A1A1A"/>
        </w:rPr>
        <w:t>Curricular Goals are included in the base case but with a strictly bounded role: they provide the exact wording and meaning of C-codes that are already identified in the chapter mapping JSON. The AI must understand what C-2.1 means in order to design an activity that genuinely develops it — not merely labels it.</w:t>
      </w:r>
    </w:p>
    <w:p w14:paraId="26F72B79" w14:textId="77777777" w:rsidR="002336B1" w:rsidRDefault="00000000">
      <w:pPr>
        <w:spacing w:before="80" w:after="120" w:line="320" w:lineRule="auto"/>
      </w:pPr>
      <w:r>
        <w:rPr>
          <w:rFonts w:cs="Arial"/>
          <w:color w:val="1A1A1A"/>
        </w:rPr>
        <w:t>What Curricular Goals must not do in this context is equally important. The same document that served as the source of truth for competency identification in the chapter mapping constitution must not trigger that behaviour again at generation time. The constitution therefore contains an explicit prohibition: the AI must not scan for additional competencies, must not assess coverage, and must not reference any C-code not present in the chapter mapping for this chapter.</w:t>
      </w:r>
    </w:p>
    <w:p w14:paraId="734B8BCF" w14:textId="77777777" w:rsidR="002336B1" w:rsidRDefault="002336B1">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336B1" w14:paraId="3A1BF9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6B6B"/>
            <w:tcMar>
              <w:top w:w="120" w:type="dxa"/>
              <w:left w:w="160" w:type="dxa"/>
              <w:bottom w:w="120" w:type="dxa"/>
              <w:right w:w="160" w:type="dxa"/>
            </w:tcMar>
            <w:vAlign w:val="center"/>
          </w:tcPr>
          <w:p w14:paraId="343F6FA6" w14:textId="77777777" w:rsidR="002336B1" w:rsidRDefault="00000000">
            <w:pPr>
              <w:jc w:val="center"/>
            </w:pPr>
            <w:r>
              <w:rPr>
                <w:rFonts w:cs="Arial"/>
                <w:b/>
                <w:bCs/>
                <w:color w:val="FFFFFF"/>
                <w:sz w:val="20"/>
                <w:szCs w:val="20"/>
              </w:rPr>
              <w:t>KEY INSIGHT</w:t>
            </w:r>
          </w:p>
        </w:tc>
        <w:tc>
          <w:tcPr>
            <w:tcW w:w="8160" w:type="dxa"/>
            <w:tcBorders>
              <w:top w:val="single" w:sz="1" w:space="0" w:color="CCCCCC"/>
              <w:left w:val="single" w:sz="1" w:space="0" w:color="CCCCCC"/>
              <w:bottom w:val="single" w:sz="1" w:space="0" w:color="CCCCCC"/>
              <w:right w:val="single" w:sz="1" w:space="0" w:color="CCCCCC"/>
            </w:tcBorders>
            <w:shd w:val="clear" w:color="auto" w:fill="E8F4F4"/>
            <w:tcMar>
              <w:top w:w="120" w:type="dxa"/>
              <w:left w:w="200" w:type="dxa"/>
              <w:bottom w:w="120" w:type="dxa"/>
              <w:right w:w="160" w:type="dxa"/>
            </w:tcMar>
          </w:tcPr>
          <w:p w14:paraId="00AAF8EB" w14:textId="77777777" w:rsidR="002336B1" w:rsidRDefault="00000000">
            <w:r>
              <w:rPr>
                <w:rFonts w:cs="Arial"/>
                <w:i/>
                <w:iCs/>
                <w:color w:val="1A1A1A"/>
              </w:rPr>
              <w:t>The same document plays three distinct roles across Aruvi's system — source of truth in the mapping constitution, reference-only lookup in the lesson plan constitution, and reporting layer in summary documents. The mode of use must be explicitly governed in each constitution, not assumed.</w:t>
            </w:r>
          </w:p>
        </w:tc>
      </w:tr>
    </w:tbl>
    <w:p w14:paraId="5E2D8172" w14:textId="77777777" w:rsidR="002336B1" w:rsidRDefault="002336B1">
      <w:pPr>
        <w:spacing w:before="80" w:after="160"/>
      </w:pPr>
    </w:p>
    <w:p w14:paraId="12CBDA0B" w14:textId="77777777" w:rsidR="002336B1" w:rsidRDefault="00000000">
      <w:pPr>
        <w:pStyle w:val="Heading2"/>
      </w:pPr>
      <w:r>
        <w:t>3.2 Pedagogy — Combined with Content Selection</w:t>
      </w:r>
    </w:p>
    <w:p w14:paraId="3178937E" w14:textId="77777777" w:rsidR="002336B1" w:rsidRDefault="00000000">
      <w:pPr>
        <w:spacing w:before="80" w:after="120" w:line="320" w:lineRule="auto"/>
      </w:pPr>
      <w:r>
        <w:rPr>
          <w:rFonts w:cs="Arial"/>
          <w:color w:val="1A1A1A"/>
        </w:rPr>
        <w:t>For Social Science, the NCF document set includes both a Pedagogy section and a separate Content Selection section. These were deliberately combined into a single document for lesson plan generation purposes.</w:t>
      </w:r>
    </w:p>
    <w:p w14:paraId="79BF04CA" w14:textId="77777777" w:rsidR="002336B1" w:rsidRDefault="00000000">
      <w:pPr>
        <w:spacing w:before="80" w:after="120" w:line="320" w:lineRule="auto"/>
      </w:pPr>
      <w:r>
        <w:rPr>
          <w:rFonts w:cs="Arial"/>
          <w:color w:val="1A1A1A"/>
        </w:rPr>
        <w:t>Content selection and pedagogical approach are not independent decisions — what you foreground determines how you teach it. Separating them would have created a sequencing question in the constitution: which do you apply first? The combined document governs both what content elements from the chapter summary deserve period time, and what activity structure NCF-aligned pedagogy prescribes for that content.</w:t>
      </w:r>
    </w:p>
    <w:p w14:paraId="3027A62E" w14:textId="77777777" w:rsidR="002336B1" w:rsidRDefault="00000000">
      <w:pPr>
        <w:spacing w:before="80" w:after="120" w:line="320" w:lineRule="auto"/>
      </w:pPr>
      <w:r>
        <w:rPr>
          <w:rFonts w:cs="Arial"/>
          <w:color w:val="1A1A1A"/>
        </w:rPr>
        <w:t>Critically, the content selection guidance operates within a hard boundary: it is used to prioritise content within the chapter summary in service of pre-identified C-codes. It is not a second pass that might surface different competencies.</w:t>
      </w:r>
    </w:p>
    <w:p w14:paraId="7C1F02A8" w14:textId="77777777" w:rsidR="002336B1" w:rsidRDefault="00000000">
      <w:pPr>
        <w:pStyle w:val="Heading2"/>
      </w:pPr>
      <w:r>
        <w:t>3.3 Teacher Manual — Excluded</w:t>
      </w:r>
    </w:p>
    <w:p w14:paraId="4CB5DFF7" w14:textId="77777777" w:rsidR="002336B1" w:rsidRDefault="00000000">
      <w:pPr>
        <w:spacing w:before="80" w:after="120" w:line="320" w:lineRule="auto"/>
      </w:pPr>
      <w:r>
        <w:rPr>
          <w:rFonts w:cs="Arial"/>
          <w:color w:val="1A1A1A"/>
        </w:rPr>
        <w:t>The Teacher Manual was proposed as a candidate input by NotebookLM, which described it as the 'ultimate consolidated blueprint' for lesson planning. The case for exclusion rests on three separate arguments, each sufficient on its own.</w:t>
      </w:r>
    </w:p>
    <w:p w14:paraId="785DE703" w14:textId="77777777" w:rsidR="002336B1" w:rsidRDefault="00000000">
      <w:pPr>
        <w:pStyle w:val="ListParagraph"/>
        <w:numPr>
          <w:ilvl w:val="0"/>
          <w:numId w:val="2"/>
        </w:numPr>
        <w:spacing w:before="60" w:after="60" w:line="300" w:lineRule="auto"/>
      </w:pPr>
      <w:r>
        <w:rPr>
          <w:color w:val="1A1A1A"/>
        </w:rPr>
        <w:lastRenderedPageBreak/>
        <w:t>Content absorption: For Science Class VII, examination of the actual Teacher Manual revealed it is structurally the textbook itself — the same activities, examples, and questions that generate the chapter summary JSON. The manual adds no layer absent from the pre-computed JSON.</w:t>
      </w:r>
    </w:p>
    <w:p w14:paraId="45744797" w14:textId="77777777" w:rsidR="002336B1" w:rsidRDefault="00000000">
      <w:pPr>
        <w:pStyle w:val="ListParagraph"/>
        <w:numPr>
          <w:ilvl w:val="0"/>
          <w:numId w:val="2"/>
        </w:numPr>
        <w:spacing w:before="60" w:after="60" w:line="300" w:lineRule="auto"/>
      </w:pPr>
      <w:r>
        <w:rPr>
          <w:color w:val="1A1A1A"/>
        </w:rPr>
        <w:t>Architectural conflict: The Teacher Manual recommends activities without knowing the teacher's actual period count and duration. Aruvi's core value proposition is that time is a hard constraint — the plan is built to fit the teacher's actual periods, not the manual's idealised sequence. Passing the manual risks the AI anchoring to its activity sequence and compressing it to fit time, rather than building fresh from competencies and time budget.</w:t>
      </w:r>
    </w:p>
    <w:p w14:paraId="18EB3C1B" w14:textId="77777777" w:rsidR="002336B1" w:rsidRDefault="00000000">
      <w:pPr>
        <w:pStyle w:val="ListParagraph"/>
        <w:numPr>
          <w:ilvl w:val="0"/>
          <w:numId w:val="2"/>
        </w:numPr>
        <w:spacing w:before="60" w:after="60" w:line="300" w:lineRule="auto"/>
      </w:pPr>
      <w:r>
        <w:rPr>
          <w:color w:val="1A1A1A"/>
        </w:rPr>
        <w:t>Stability: The Teacher Manual is the least stable document in the set — it is issued per textbook edition and not consistently reissued with every revision. Building it into the architecture would make system reliability depend on the most episodically available document in the set.</w:t>
      </w:r>
    </w:p>
    <w:p w14:paraId="136D9FE5" w14:textId="77777777" w:rsidR="002336B1" w:rsidRDefault="002336B1">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7"/>
        <w:gridCol w:w="7973"/>
      </w:tblGrid>
      <w:tr w:rsidR="002336B1" w14:paraId="104723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6B6B"/>
            <w:tcMar>
              <w:top w:w="120" w:type="dxa"/>
              <w:left w:w="160" w:type="dxa"/>
              <w:bottom w:w="120" w:type="dxa"/>
              <w:right w:w="160" w:type="dxa"/>
            </w:tcMar>
            <w:vAlign w:val="center"/>
          </w:tcPr>
          <w:p w14:paraId="6F9BBDA0" w14:textId="77777777" w:rsidR="002336B1" w:rsidRDefault="00000000">
            <w:pPr>
              <w:jc w:val="center"/>
            </w:pPr>
            <w:r>
              <w:rPr>
                <w:rFonts w:cs="Arial"/>
                <w:b/>
                <w:bCs/>
                <w:color w:val="FFFFFF"/>
                <w:sz w:val="20"/>
                <w:szCs w:val="20"/>
              </w:rPr>
              <w:t>STABILITY PRINCIPLE</w:t>
            </w:r>
          </w:p>
        </w:tc>
        <w:tc>
          <w:tcPr>
            <w:tcW w:w="8160" w:type="dxa"/>
            <w:tcBorders>
              <w:top w:val="single" w:sz="1" w:space="0" w:color="CCCCCC"/>
              <w:left w:val="single" w:sz="1" w:space="0" w:color="CCCCCC"/>
              <w:bottom w:val="single" w:sz="1" w:space="0" w:color="CCCCCC"/>
              <w:right w:val="single" w:sz="1" w:space="0" w:color="CCCCCC"/>
            </w:tcBorders>
            <w:shd w:val="clear" w:color="auto" w:fill="E8F4F4"/>
            <w:tcMar>
              <w:top w:w="120" w:type="dxa"/>
              <w:left w:w="200" w:type="dxa"/>
              <w:bottom w:w="120" w:type="dxa"/>
              <w:right w:w="160" w:type="dxa"/>
            </w:tcMar>
          </w:tcPr>
          <w:p w14:paraId="44C68E1F" w14:textId="77777777" w:rsidR="002336B1" w:rsidRDefault="00000000">
            <w:r>
              <w:rPr>
                <w:rFonts w:cs="Arial"/>
                <w:i/>
                <w:iCs/>
                <w:color w:val="1A1A1A"/>
              </w:rPr>
              <w:t>Curricular Goals, Pedagogy, and Learning Outcomes are NCF policy-level documents that remain stable even when NCERT changes textbooks. The Chapter Mapping JSON is the only component that tracks NCERT publishing cycles, and even then only at the chapter level. The constitution is written once and remains valid across textbook revisions.</w:t>
            </w:r>
          </w:p>
        </w:tc>
      </w:tr>
    </w:tbl>
    <w:p w14:paraId="1434BEC6" w14:textId="77777777" w:rsidR="002336B1" w:rsidRDefault="002336B1">
      <w:pPr>
        <w:spacing w:before="80" w:after="160"/>
      </w:pPr>
    </w:p>
    <w:p w14:paraId="468762DC" w14:textId="77777777" w:rsidR="002336B1" w:rsidRDefault="002336B1">
      <w:pPr>
        <w:pBdr>
          <w:bottom w:val="single" w:sz="4" w:space="1" w:color="C5E0E0"/>
        </w:pBdr>
        <w:spacing w:before="200" w:after="200"/>
      </w:pPr>
    </w:p>
    <w:p w14:paraId="52E85CD9" w14:textId="77777777" w:rsidR="002336B1" w:rsidRDefault="00000000">
      <w:pPr>
        <w:pStyle w:val="Heading1"/>
      </w:pPr>
      <w:r>
        <w:t>4. The Learning Outcomes Question — The Central Design Decision</w:t>
      </w:r>
    </w:p>
    <w:p w14:paraId="373EE340" w14:textId="77777777" w:rsidR="002336B1" w:rsidRDefault="00000000">
      <w:pPr>
        <w:spacing w:before="80" w:after="120" w:line="320" w:lineRule="auto"/>
      </w:pPr>
      <w:r>
        <w:rPr>
          <w:rFonts w:cs="Arial"/>
          <w:color w:val="1A1A1A"/>
        </w:rPr>
        <w:t>The most consequential design decision in the lesson plan constitution concerned Learning Outcomes. The NCF describes LOs as 'granular milestones of learning that usually progress in a sequence leading to the attainment of a Competency' and explicitly grants curriculum developers and teachers autonomy to define LOs appropriate to their classroom contexts. This created both a strong case for including LOs and a genuine architectural problem.</w:t>
      </w:r>
    </w:p>
    <w:p w14:paraId="02A0CFBE" w14:textId="77777777" w:rsidR="002336B1" w:rsidRDefault="00000000">
      <w:pPr>
        <w:pStyle w:val="Heading2"/>
      </w:pPr>
      <w:r>
        <w:t>4.1 Three Approaches Considered</w:t>
      </w:r>
    </w:p>
    <w:p w14:paraId="6E4E560E" w14:textId="77777777" w:rsidR="002336B1" w:rsidRDefault="00000000">
      <w:pPr>
        <w:spacing w:before="80" w:after="120" w:line="320" w:lineRule="auto"/>
      </w:pPr>
      <w:r>
        <w:rPr>
          <w:rFonts w:cs="Arial"/>
          <w:color w:val="1A1A1A"/>
        </w:rPr>
        <w:t>Three approaches to LOs were systematically evaluated before the final architecture was established.</w:t>
      </w:r>
    </w:p>
    <w:p w14:paraId="4E485378" w14:textId="77777777" w:rsidR="002336B1" w:rsidRDefault="002336B1">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2336B1" w14:paraId="41EF4E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6B6B"/>
            <w:tcMar>
              <w:top w:w="100" w:type="dxa"/>
              <w:left w:w="140" w:type="dxa"/>
              <w:bottom w:w="100" w:type="dxa"/>
              <w:right w:w="140" w:type="dxa"/>
            </w:tcMar>
          </w:tcPr>
          <w:p w14:paraId="47B70114" w14:textId="77777777" w:rsidR="002336B1" w:rsidRDefault="00000000">
            <w:r>
              <w:rPr>
                <w:rFonts w:cs="Arial"/>
                <w:b/>
                <w:bCs/>
                <w:color w:val="FFFFFF"/>
                <w:sz w:val="21"/>
                <w:szCs w:val="21"/>
              </w:rPr>
              <w:t>Approach</w:t>
            </w:r>
          </w:p>
        </w:tc>
        <w:tc>
          <w:tcPr>
            <w:tcW w:w="3580" w:type="dxa"/>
            <w:tcBorders>
              <w:top w:val="single" w:sz="1" w:space="0" w:color="CCCCCC"/>
              <w:left w:val="single" w:sz="1" w:space="0" w:color="CCCCCC"/>
              <w:bottom w:val="single" w:sz="1" w:space="0" w:color="CCCCCC"/>
              <w:right w:val="single" w:sz="1" w:space="0" w:color="CCCCCC"/>
            </w:tcBorders>
            <w:shd w:val="clear" w:color="auto" w:fill="1B6B6B"/>
            <w:tcMar>
              <w:top w:w="100" w:type="dxa"/>
              <w:left w:w="140" w:type="dxa"/>
              <w:bottom w:w="100" w:type="dxa"/>
              <w:right w:w="140" w:type="dxa"/>
            </w:tcMar>
          </w:tcPr>
          <w:p w14:paraId="52B137FA" w14:textId="77777777" w:rsidR="002336B1" w:rsidRDefault="00000000">
            <w:r>
              <w:rPr>
                <w:rFonts w:cs="Arial"/>
                <w:b/>
                <w:bCs/>
                <w:color w:val="FFFFFF"/>
                <w:sz w:val="21"/>
                <w:szCs w:val="21"/>
              </w:rPr>
              <w:t>Description</w:t>
            </w:r>
          </w:p>
        </w:tc>
        <w:tc>
          <w:tcPr>
            <w:tcW w:w="3580" w:type="dxa"/>
            <w:tcBorders>
              <w:top w:val="single" w:sz="1" w:space="0" w:color="CCCCCC"/>
              <w:left w:val="single" w:sz="1" w:space="0" w:color="CCCCCC"/>
              <w:bottom w:val="single" w:sz="1" w:space="0" w:color="CCCCCC"/>
              <w:right w:val="single" w:sz="1" w:space="0" w:color="CCCCCC"/>
            </w:tcBorders>
            <w:shd w:val="clear" w:color="auto" w:fill="1B6B6B"/>
            <w:tcMar>
              <w:top w:w="100" w:type="dxa"/>
              <w:left w:w="140" w:type="dxa"/>
              <w:bottom w:w="100" w:type="dxa"/>
              <w:right w:w="140" w:type="dxa"/>
            </w:tcMar>
          </w:tcPr>
          <w:p w14:paraId="73BD583F" w14:textId="77777777" w:rsidR="002336B1" w:rsidRDefault="00000000">
            <w:r>
              <w:rPr>
                <w:rFonts w:cs="Arial"/>
                <w:b/>
                <w:bCs/>
                <w:color w:val="FFFFFF"/>
                <w:sz w:val="21"/>
                <w:szCs w:val="21"/>
              </w:rPr>
              <w:t>Problem</w:t>
            </w:r>
          </w:p>
        </w:tc>
      </w:tr>
      <w:tr w:rsidR="002336B1" w14:paraId="602504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149D3733" w14:textId="77777777" w:rsidR="002336B1" w:rsidRDefault="00000000">
            <w:r>
              <w:rPr>
                <w:rFonts w:cs="Arial"/>
                <w:color w:val="1A1A1A"/>
                <w:sz w:val="21"/>
                <w:szCs w:val="21"/>
              </w:rPr>
              <w:lastRenderedPageBreak/>
              <w:t>Pre-matched at build time</w:t>
            </w:r>
          </w:p>
        </w:tc>
        <w:tc>
          <w:tcPr>
            <w:tcW w:w="35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6E5B5FF7" w14:textId="77777777" w:rsidR="002336B1" w:rsidRDefault="00000000">
            <w:r>
              <w:rPr>
                <w:rFonts w:cs="Arial"/>
                <w:color w:val="1A1A1A"/>
                <w:sz w:val="21"/>
                <w:szCs w:val="21"/>
              </w:rPr>
              <w:t>LOs matched to competencies during chapter mapping build, stored in JSON alongside competency weights</w:t>
            </w:r>
          </w:p>
        </w:tc>
        <w:tc>
          <w:tcPr>
            <w:tcW w:w="35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427D68A9" w14:textId="77777777" w:rsidR="002336B1" w:rsidRDefault="00000000">
            <w:r>
              <w:rPr>
                <w:rFonts w:cs="Arial"/>
                <w:color w:val="1A1A1A"/>
                <w:sz w:val="21"/>
                <w:szCs w:val="21"/>
              </w:rPr>
              <w:t>The NCERT LO document is a flat, untagged list for the entire year. Matching at build time is itself an inference step with hallucination risk.</w:t>
            </w:r>
          </w:p>
        </w:tc>
      </w:tr>
      <w:tr w:rsidR="002336B1" w14:paraId="455AA5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36B593" w14:textId="77777777" w:rsidR="002336B1" w:rsidRDefault="00000000">
            <w:r>
              <w:rPr>
                <w:rFonts w:cs="Arial"/>
                <w:color w:val="1A1A1A"/>
                <w:sz w:val="21"/>
                <w:szCs w:val="21"/>
              </w:rPr>
              <w:t>Retrieved at runtime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E06E3D" w14:textId="77777777" w:rsidR="002336B1" w:rsidRDefault="00000000">
            <w:r>
              <w:rPr>
                <w:rFonts w:cs="Arial"/>
                <w:color w:val="1A1A1A"/>
                <w:sz w:val="21"/>
                <w:szCs w:val="21"/>
              </w:rPr>
              <w:t>Full LO document in vector store; generator retrieves grade/subject subset and matches LOs to chapter's C-codes at generation time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F20FF3" w14:textId="4FD8AB47" w:rsidR="002336B1" w:rsidRDefault="00000000">
            <w:r>
              <w:rPr>
                <w:rFonts w:cs="Arial"/>
                <w:color w:val="1A1A1A"/>
                <w:sz w:val="21"/>
                <w:szCs w:val="21"/>
              </w:rPr>
              <w:t>Re-enacts the constitutional work already done in the mapping phase</w:t>
            </w:r>
            <w:r w:rsidR="00C97D99">
              <w:rPr>
                <w:rFonts w:cs="Arial"/>
                <w:color w:val="1A1A1A"/>
                <w:sz w:val="21"/>
                <w:szCs w:val="21"/>
              </w:rPr>
              <w:t xml:space="preserve"> for competency</w:t>
            </w:r>
            <w:r>
              <w:rPr>
                <w:rFonts w:cs="Arial"/>
                <w:color w:val="1A1A1A"/>
                <w:sz w:val="21"/>
                <w:szCs w:val="21"/>
              </w:rPr>
              <w:t>. Iterative consistency checking consumes tokens and risks collapse under pressure.</w:t>
            </w:r>
          </w:p>
        </w:tc>
      </w:tr>
      <w:tr w:rsidR="002336B1" w14:paraId="658A55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41896A17" w14:textId="77777777" w:rsidR="002336B1" w:rsidRDefault="00000000">
            <w:r>
              <w:rPr>
                <w:rFonts w:cs="Arial"/>
                <w:color w:val="1A1A1A"/>
                <w:sz w:val="21"/>
                <w:szCs w:val="21"/>
              </w:rPr>
              <w:t>Dropped entirely as input</w:t>
            </w:r>
          </w:p>
        </w:tc>
        <w:tc>
          <w:tcPr>
            <w:tcW w:w="35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4FB7DB3B" w14:textId="77777777" w:rsidR="002336B1" w:rsidRDefault="00000000">
            <w:r>
              <w:rPr>
                <w:rFonts w:cs="Arial"/>
                <w:color w:val="1A1A1A"/>
                <w:sz w:val="21"/>
                <w:szCs w:val="21"/>
              </w:rPr>
              <w:t>LOs not passed to generator; competency serves as the sole anchor; implied LOs emerge from activity design</w:t>
            </w:r>
          </w:p>
        </w:tc>
        <w:tc>
          <w:tcPr>
            <w:tcW w:w="35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5B624F55" w14:textId="77777777" w:rsidR="002336B1" w:rsidRDefault="00000000">
            <w:r>
              <w:rPr>
                <w:rFonts w:cs="Arial"/>
                <w:color w:val="1A1A1A"/>
                <w:sz w:val="21"/>
                <w:szCs w:val="21"/>
              </w:rPr>
              <w:t>Accepted as the correct approach — see Section 4.2</w:t>
            </w:r>
          </w:p>
        </w:tc>
      </w:tr>
    </w:tbl>
    <w:p w14:paraId="06EFD5DD" w14:textId="77777777" w:rsidR="002336B1" w:rsidRDefault="002336B1">
      <w:pPr>
        <w:spacing w:before="200" w:after="120"/>
      </w:pPr>
    </w:p>
    <w:p w14:paraId="39EC25B9" w14:textId="77777777" w:rsidR="002336B1" w:rsidRDefault="00000000">
      <w:pPr>
        <w:pStyle w:val="Heading2"/>
      </w:pPr>
      <w:r>
        <w:t>4.2 Why LOs Were Dropped as a Constitutional Input</w:t>
      </w:r>
    </w:p>
    <w:p w14:paraId="33700B04" w14:textId="77777777" w:rsidR="002336B1" w:rsidRDefault="00000000">
      <w:pPr>
        <w:spacing w:before="80" w:after="120" w:line="320" w:lineRule="auto"/>
      </w:pPr>
      <w:r>
        <w:rPr>
          <w:rFonts w:cs="Arial"/>
          <w:color w:val="1A1A1A"/>
        </w:rPr>
        <w:t>The decisive argument came from examining what the double-matching process would actually do to lesson plan quality. Pre-specifying LOs and then designing activities to hit them creates a gravitational pull toward the fixed wording of the LO document. The lesson plan optimises for matching the LO label rather than for the substance of the competency. A lesson plan designed to make students 'identify main points and summarise from a careful reading' will tend toward low-order comprehension activities — because that is what the LO wording affirmatively describes.</w:t>
      </w:r>
    </w:p>
    <w:p w14:paraId="6C636600" w14:textId="77777777" w:rsidR="002336B1" w:rsidRDefault="00000000">
      <w:pPr>
        <w:spacing w:before="80" w:after="120" w:line="320" w:lineRule="auto"/>
      </w:pPr>
      <w:r>
        <w:rPr>
          <w:rFonts w:cs="Arial"/>
          <w:color w:val="1A1A1A"/>
        </w:rPr>
        <w:t>A further problem: the NCERT LO document's developmental boundary — what is cognitively appropriate for a Class VII student — cannot be reliably enforced through semantic rules. The document is a two-column instantiation of one valid set of LOs, not a cognitive boundary condition that the AI can test against.</w:t>
      </w:r>
    </w:p>
    <w:p w14:paraId="3C4D0E21" w14:textId="77777777" w:rsidR="002336B1" w:rsidRDefault="00000000">
      <w:pPr>
        <w:spacing w:before="80" w:after="120" w:line="320" w:lineRule="auto"/>
      </w:pPr>
      <w:r>
        <w:rPr>
          <w:rFonts w:cs="Arial"/>
          <w:color w:val="1A1A1A"/>
        </w:rPr>
        <w:t>Most importantly, reading the NCF autonomy clause carefully: the intent is not to pre-specify LOs and then strive to hit them. It is to give teachers the freedom to determine what milestones are appropriate for their classroom in service of the competency. A lesson plan that genuinely delivers a child to a competency will have LOs embedded in it — they emerge from the teaching process. They are not pre-specified targets the lesson plan then tries to hit.</w:t>
      </w:r>
    </w:p>
    <w:p w14:paraId="7323D2B0" w14:textId="77777777" w:rsidR="002336B1" w:rsidRDefault="00000000">
      <w:pPr>
        <w:pStyle w:val="Heading2"/>
      </w:pPr>
      <w:r>
        <w:t>4.3 The Inverted Flow — The Resolution</w:t>
      </w:r>
    </w:p>
    <w:p w14:paraId="4056ADD0" w14:textId="77777777" w:rsidR="002336B1" w:rsidRDefault="00000000">
      <w:pPr>
        <w:spacing w:before="80" w:after="120" w:line="320" w:lineRule="auto"/>
      </w:pPr>
      <w:r>
        <w:rPr>
          <w:rFonts w:cs="Arial"/>
          <w:color w:val="1A1A1A"/>
        </w:rPr>
        <w:t>The final architecture inverts the conventional LO flow entirely. Rather than LOs governing activity design, activities are designed in service of competencies, and implied LOs are then stated as direct logical derivatives of those activities.</w:t>
      </w:r>
    </w:p>
    <w:p w14:paraId="5856D269" w14:textId="77777777" w:rsidR="002336B1" w:rsidRDefault="002336B1">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6B1" w14:paraId="321DED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360"/>
              <w:gridCol w:w="1200"/>
            </w:tblGrid>
            <w:tr w:rsidR="002336B1" w14:paraId="0233AD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6B6B"/>
                  <w:tcMar>
                    <w:top w:w="120" w:type="dxa"/>
                    <w:left w:w="120" w:type="dxa"/>
                    <w:bottom w:w="120" w:type="dxa"/>
                    <w:right w:w="120" w:type="dxa"/>
                  </w:tcMar>
                  <w:vAlign w:val="center"/>
                </w:tcPr>
                <w:p w14:paraId="15D2FBC9" w14:textId="77777777" w:rsidR="002336B1" w:rsidRDefault="00000000">
                  <w:pPr>
                    <w:jc w:val="center"/>
                  </w:pPr>
                  <w:r>
                    <w:rPr>
                      <w:rFonts w:cs="Arial"/>
                      <w:color w:val="FFFFFF"/>
                      <w:sz w:val="28"/>
                      <w:szCs w:val="28"/>
                    </w:rPr>
                    <w:t>C</w:t>
                  </w:r>
                </w:p>
              </w:tc>
              <w:tc>
                <w:tcPr>
                  <w:tcW w:w="7360" w:type="dxa"/>
                  <w:tcBorders>
                    <w:top w:val="single" w:sz="1" w:space="0" w:color="CCCCCC"/>
                    <w:left w:val="single" w:sz="1" w:space="0" w:color="CCCCCC"/>
                    <w:bottom w:val="single" w:sz="1" w:space="0" w:color="CCCCCC"/>
                    <w:right w:val="single" w:sz="1" w:space="0" w:color="CCCCCC"/>
                  </w:tcBorders>
                  <w:shd w:val="clear" w:color="auto" w:fill="F8FEFE"/>
                  <w:tcMar>
                    <w:top w:w="120" w:type="dxa"/>
                    <w:left w:w="200" w:type="dxa"/>
                    <w:bottom w:w="120" w:type="dxa"/>
                    <w:right w:w="160" w:type="dxa"/>
                  </w:tcMar>
                </w:tcPr>
                <w:p w14:paraId="5A12083D" w14:textId="77777777" w:rsidR="002336B1" w:rsidRDefault="00000000">
                  <w:pPr>
                    <w:spacing w:after="40"/>
                  </w:pPr>
                  <w:r>
                    <w:rPr>
                      <w:rFonts w:cs="Arial"/>
                      <w:b/>
                      <w:bCs/>
                      <w:color w:val="1B6B6B"/>
                    </w:rPr>
                    <w:t>Competency (given, fixed from chapter mapping JSON)</w:t>
                  </w:r>
                </w:p>
                <w:p w14:paraId="00D2EB2C" w14:textId="77777777" w:rsidR="002336B1" w:rsidRDefault="00000000">
                  <w:r>
                    <w:rPr>
                      <w:rFonts w:cs="Arial"/>
                      <w:color w:val="1A1A1A"/>
                      <w:sz w:val="21"/>
                      <w:szCs w:val="21"/>
                    </w:rPr>
                    <w:t>Pre-identified C-codes with exact wording from Curricular Goals document. No selection or evaluation at this stage.</w:t>
                  </w:r>
                </w:p>
              </w:tc>
              <w:tc>
                <w:tcPr>
                  <w:tcW w:w="1200" w:type="dxa"/>
                  <w:tcBorders>
                    <w:top w:val="single" w:sz="1" w:space="0" w:color="CCCCCC"/>
                    <w:left w:val="single" w:sz="1" w:space="0" w:color="CCCCCC"/>
                    <w:bottom w:val="single" w:sz="1" w:space="0" w:color="CCCCCC"/>
                    <w:right w:val="single" w:sz="1" w:space="0" w:color="CCCCCC"/>
                  </w:tcBorders>
                  <w:shd w:val="clear" w:color="auto" w:fill="E8F4F4"/>
                  <w:tcMar>
                    <w:top w:w="120" w:type="dxa"/>
                    <w:left w:w="120" w:type="dxa"/>
                    <w:bottom w:w="120" w:type="dxa"/>
                    <w:right w:w="120" w:type="dxa"/>
                  </w:tcMar>
                  <w:vAlign w:val="center"/>
                </w:tcPr>
                <w:p w14:paraId="3694B6C0" w14:textId="77777777" w:rsidR="002336B1" w:rsidRDefault="00000000">
                  <w:pPr>
                    <w:jc w:val="center"/>
                  </w:pPr>
                  <w:r>
                    <w:rPr>
                      <w:rFonts w:cs="Arial"/>
                      <w:b/>
                      <w:bCs/>
                      <w:color w:val="1B6B6B"/>
                      <w:sz w:val="28"/>
                      <w:szCs w:val="28"/>
                    </w:rPr>
                    <w:t>↓</w:t>
                  </w:r>
                </w:p>
              </w:tc>
            </w:tr>
          </w:tbl>
          <w:p w14:paraId="138D630F" w14:textId="77777777" w:rsidR="002336B1" w:rsidRDefault="002336B1">
            <w:pPr>
              <w:spacing w:before="40" w:after="40"/>
            </w:pPr>
          </w:p>
        </w:tc>
      </w:tr>
      <w:tr w:rsidR="002336B1" w14:paraId="33C802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360"/>
              <w:gridCol w:w="1200"/>
            </w:tblGrid>
            <w:tr w:rsidR="002336B1" w14:paraId="5C2FDD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6B6B"/>
                  <w:tcMar>
                    <w:top w:w="120" w:type="dxa"/>
                    <w:left w:w="120" w:type="dxa"/>
                    <w:bottom w:w="120" w:type="dxa"/>
                    <w:right w:w="120" w:type="dxa"/>
                  </w:tcMar>
                  <w:vAlign w:val="center"/>
                </w:tcPr>
                <w:p w14:paraId="41284BD3" w14:textId="77777777" w:rsidR="002336B1" w:rsidRDefault="00000000">
                  <w:pPr>
                    <w:jc w:val="center"/>
                  </w:pPr>
                  <w:r>
                    <w:rPr>
                      <w:rFonts w:cs="Arial"/>
                      <w:color w:val="FFFFFF"/>
                      <w:sz w:val="28"/>
                      <w:szCs w:val="28"/>
                    </w:rPr>
                    <w:t>A</w:t>
                  </w:r>
                </w:p>
              </w:tc>
              <w:tc>
                <w:tcPr>
                  <w:tcW w:w="7360" w:type="dxa"/>
                  <w:tcBorders>
                    <w:top w:val="single" w:sz="1" w:space="0" w:color="CCCCCC"/>
                    <w:left w:val="single" w:sz="1" w:space="0" w:color="CCCCCC"/>
                    <w:bottom w:val="single" w:sz="1" w:space="0" w:color="CCCCCC"/>
                    <w:right w:val="single" w:sz="1" w:space="0" w:color="CCCCCC"/>
                  </w:tcBorders>
                  <w:shd w:val="clear" w:color="auto" w:fill="F8FEFE"/>
                  <w:tcMar>
                    <w:top w:w="120" w:type="dxa"/>
                    <w:left w:w="200" w:type="dxa"/>
                    <w:bottom w:w="120" w:type="dxa"/>
                    <w:right w:w="160" w:type="dxa"/>
                  </w:tcMar>
                </w:tcPr>
                <w:p w14:paraId="41F1B039" w14:textId="77777777" w:rsidR="002336B1" w:rsidRDefault="00000000">
                  <w:pPr>
                    <w:spacing w:after="40"/>
                  </w:pPr>
                  <w:r>
                    <w:rPr>
                      <w:rFonts w:cs="Arial"/>
                      <w:b/>
                      <w:bCs/>
                      <w:color w:val="1B6B6B"/>
                    </w:rPr>
                    <w:t>Activity designed to develop that competency</w:t>
                  </w:r>
                </w:p>
                <w:p w14:paraId="70025AFD" w14:textId="77777777" w:rsidR="002336B1" w:rsidRDefault="00000000">
                  <w:r>
                    <w:rPr>
                      <w:rFonts w:cs="Arial"/>
                      <w:color w:val="1A1A1A"/>
                      <w:sz w:val="21"/>
                      <w:szCs w:val="21"/>
                    </w:rPr>
                    <w:t>Pedagogy-governed, content-grounded, time-constrained. Built from chapter summary and NCF pedagogical approach for the subject.</w:t>
                  </w:r>
                </w:p>
              </w:tc>
              <w:tc>
                <w:tcPr>
                  <w:tcW w:w="1200" w:type="dxa"/>
                  <w:tcBorders>
                    <w:top w:val="single" w:sz="1" w:space="0" w:color="CCCCCC"/>
                    <w:left w:val="single" w:sz="1" w:space="0" w:color="CCCCCC"/>
                    <w:bottom w:val="single" w:sz="1" w:space="0" w:color="CCCCCC"/>
                    <w:right w:val="single" w:sz="1" w:space="0" w:color="CCCCCC"/>
                  </w:tcBorders>
                  <w:shd w:val="clear" w:color="auto" w:fill="E8F4F4"/>
                  <w:tcMar>
                    <w:top w:w="120" w:type="dxa"/>
                    <w:left w:w="120" w:type="dxa"/>
                    <w:bottom w:w="120" w:type="dxa"/>
                    <w:right w:w="120" w:type="dxa"/>
                  </w:tcMar>
                  <w:vAlign w:val="center"/>
                </w:tcPr>
                <w:p w14:paraId="25698569" w14:textId="77777777" w:rsidR="002336B1" w:rsidRDefault="00000000">
                  <w:pPr>
                    <w:jc w:val="center"/>
                  </w:pPr>
                  <w:r>
                    <w:rPr>
                      <w:rFonts w:cs="Arial"/>
                      <w:b/>
                      <w:bCs/>
                      <w:color w:val="1B6B6B"/>
                      <w:sz w:val="28"/>
                      <w:szCs w:val="28"/>
                    </w:rPr>
                    <w:t>↓</w:t>
                  </w:r>
                </w:p>
              </w:tc>
            </w:tr>
          </w:tbl>
          <w:p w14:paraId="334D33C6" w14:textId="77777777" w:rsidR="002336B1" w:rsidRDefault="002336B1">
            <w:pPr>
              <w:spacing w:before="40" w:after="40"/>
            </w:pPr>
          </w:p>
        </w:tc>
      </w:tr>
      <w:tr w:rsidR="002336B1" w14:paraId="7A9580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360"/>
              <w:gridCol w:w="1200"/>
            </w:tblGrid>
            <w:tr w:rsidR="002336B1" w14:paraId="044F6D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6B6B"/>
                  <w:tcMar>
                    <w:top w:w="120" w:type="dxa"/>
                    <w:left w:w="120" w:type="dxa"/>
                    <w:bottom w:w="120" w:type="dxa"/>
                    <w:right w:w="120" w:type="dxa"/>
                  </w:tcMar>
                  <w:vAlign w:val="center"/>
                </w:tcPr>
                <w:p w14:paraId="1B1D8492" w14:textId="77777777" w:rsidR="002336B1" w:rsidRDefault="00000000">
                  <w:pPr>
                    <w:jc w:val="center"/>
                  </w:pPr>
                  <w:r>
                    <w:rPr>
                      <w:rFonts w:cs="Arial"/>
                      <w:color w:val="FFFFFF"/>
                      <w:sz w:val="28"/>
                      <w:szCs w:val="28"/>
                    </w:rPr>
                    <w:t>LO</w:t>
                  </w:r>
                </w:p>
              </w:tc>
              <w:tc>
                <w:tcPr>
                  <w:tcW w:w="7360" w:type="dxa"/>
                  <w:tcBorders>
                    <w:top w:val="single" w:sz="1" w:space="0" w:color="CCCCCC"/>
                    <w:left w:val="single" w:sz="1" w:space="0" w:color="CCCCCC"/>
                    <w:bottom w:val="single" w:sz="1" w:space="0" w:color="CCCCCC"/>
                    <w:right w:val="single" w:sz="1" w:space="0" w:color="CCCCCC"/>
                  </w:tcBorders>
                  <w:shd w:val="clear" w:color="auto" w:fill="F8FEFE"/>
                  <w:tcMar>
                    <w:top w:w="120" w:type="dxa"/>
                    <w:left w:w="200" w:type="dxa"/>
                    <w:bottom w:w="120" w:type="dxa"/>
                    <w:right w:w="160" w:type="dxa"/>
                  </w:tcMar>
                </w:tcPr>
                <w:p w14:paraId="56739733" w14:textId="77777777" w:rsidR="002336B1" w:rsidRDefault="00000000">
                  <w:pPr>
                    <w:spacing w:after="40"/>
                  </w:pPr>
                  <w:r>
                    <w:rPr>
                      <w:rFonts w:cs="Arial"/>
                      <w:b/>
                      <w:bCs/>
                      <w:color w:val="1B6B6B"/>
                    </w:rPr>
                    <w:t>Implied LO stated as observable outcome of the activity</w:t>
                  </w:r>
                </w:p>
                <w:p w14:paraId="2B7C6847" w14:textId="77777777" w:rsidR="002336B1" w:rsidRDefault="00000000">
                  <w:r>
                    <w:rPr>
                      <w:rFonts w:cs="Arial"/>
                      <w:color w:val="1A1A1A"/>
                      <w:sz w:val="21"/>
                      <w:szCs w:val="21"/>
                    </w:rPr>
                    <w:t>Derived directly from the activity — what the student will demonstrably be able to do upon completing it. Not retrieved or matched from any document.</w:t>
                  </w:r>
                </w:p>
              </w:tc>
              <w:tc>
                <w:tcPr>
                  <w:tcW w:w="1200" w:type="dxa"/>
                  <w:tcBorders>
                    <w:top w:val="single" w:sz="1" w:space="0" w:color="CCCCCC"/>
                    <w:left w:val="single" w:sz="1" w:space="0" w:color="CCCCCC"/>
                    <w:bottom w:val="single" w:sz="1" w:space="0" w:color="CCCCCC"/>
                    <w:right w:val="single" w:sz="1" w:space="0" w:color="CCCCCC"/>
                  </w:tcBorders>
                  <w:shd w:val="clear" w:color="auto" w:fill="E8F4F4"/>
                  <w:tcMar>
                    <w:top w:w="120" w:type="dxa"/>
                    <w:left w:w="120" w:type="dxa"/>
                    <w:bottom w:w="120" w:type="dxa"/>
                    <w:right w:w="120" w:type="dxa"/>
                  </w:tcMar>
                  <w:vAlign w:val="center"/>
                </w:tcPr>
                <w:p w14:paraId="5EB94315" w14:textId="77777777" w:rsidR="002336B1" w:rsidRDefault="00000000">
                  <w:pPr>
                    <w:jc w:val="center"/>
                  </w:pPr>
                  <w:r>
                    <w:rPr>
                      <w:rFonts w:cs="Arial"/>
                      <w:b/>
                      <w:bCs/>
                      <w:color w:val="1B6B6B"/>
                      <w:sz w:val="28"/>
                      <w:szCs w:val="28"/>
                    </w:rPr>
                    <w:t>↓</w:t>
                  </w:r>
                </w:p>
              </w:tc>
            </w:tr>
          </w:tbl>
          <w:p w14:paraId="7638C2C9" w14:textId="77777777" w:rsidR="002336B1" w:rsidRDefault="002336B1">
            <w:pPr>
              <w:spacing w:before="40" w:after="40"/>
            </w:pPr>
          </w:p>
        </w:tc>
      </w:tr>
      <w:tr w:rsidR="002336B1" w14:paraId="4D7E11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360"/>
              <w:gridCol w:w="1200"/>
            </w:tblGrid>
            <w:tr w:rsidR="002336B1" w14:paraId="6D980A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6B6B"/>
                  <w:tcMar>
                    <w:top w:w="120" w:type="dxa"/>
                    <w:left w:w="120" w:type="dxa"/>
                    <w:bottom w:w="120" w:type="dxa"/>
                    <w:right w:w="120" w:type="dxa"/>
                  </w:tcMar>
                  <w:vAlign w:val="center"/>
                </w:tcPr>
                <w:p w14:paraId="547DBB69" w14:textId="77777777" w:rsidR="002336B1" w:rsidRDefault="00000000">
                  <w:pPr>
                    <w:jc w:val="center"/>
                  </w:pPr>
                  <w:r>
                    <w:rPr>
                      <w:rFonts w:cs="Arial"/>
                      <w:color w:val="FFFFFF"/>
                      <w:sz w:val="28"/>
                      <w:szCs w:val="28"/>
                    </w:rPr>
                    <w:t>AS</w:t>
                  </w:r>
                </w:p>
              </w:tc>
              <w:tc>
                <w:tcPr>
                  <w:tcW w:w="7360" w:type="dxa"/>
                  <w:tcBorders>
                    <w:top w:val="single" w:sz="1" w:space="0" w:color="CCCCCC"/>
                    <w:left w:val="single" w:sz="1" w:space="0" w:color="CCCCCC"/>
                    <w:bottom w:val="single" w:sz="1" w:space="0" w:color="CCCCCC"/>
                    <w:right w:val="single" w:sz="1" w:space="0" w:color="CCCCCC"/>
                  </w:tcBorders>
                  <w:shd w:val="clear" w:color="auto" w:fill="F8FEFE"/>
                  <w:tcMar>
                    <w:top w:w="120" w:type="dxa"/>
                    <w:left w:w="200" w:type="dxa"/>
                    <w:bottom w:w="120" w:type="dxa"/>
                    <w:right w:w="160" w:type="dxa"/>
                  </w:tcMar>
                </w:tcPr>
                <w:p w14:paraId="768B813C" w14:textId="77777777" w:rsidR="002336B1" w:rsidRDefault="00000000">
                  <w:pPr>
                    <w:spacing w:after="40"/>
                  </w:pPr>
                  <w:r>
                    <w:rPr>
                      <w:rFonts w:cs="Arial"/>
                      <w:b/>
                      <w:bCs/>
                      <w:color w:val="1B6B6B"/>
                    </w:rPr>
                    <w:t>Assessment tests whether the implied LO was achieved</w:t>
                  </w:r>
                </w:p>
                <w:p w14:paraId="60E9CFAF" w14:textId="77777777" w:rsidR="002336B1" w:rsidRDefault="00000000">
                  <w:r>
                    <w:rPr>
                      <w:rFonts w:cs="Arial"/>
                      <w:color w:val="1A1A1A"/>
                      <w:sz w:val="21"/>
                      <w:szCs w:val="21"/>
                    </w:rPr>
                    <w:t>Governed by a separate assessment constitution. Receives the implied LO as a precise, activity-specific input.</w:t>
                  </w:r>
                </w:p>
              </w:tc>
              <w:tc>
                <w:tcPr>
                  <w:tcW w:w="1200" w:type="dxa"/>
                  <w:tcBorders>
                    <w:top w:val="single" w:sz="1" w:space="0" w:color="CCCCCC"/>
                    <w:left w:val="single" w:sz="1" w:space="0" w:color="CCCCCC"/>
                    <w:bottom w:val="single" w:sz="1" w:space="0" w:color="CCCCCC"/>
                    <w:right w:val="single" w:sz="1" w:space="0" w:color="CCCCCC"/>
                  </w:tcBorders>
                  <w:shd w:val="clear" w:color="auto" w:fill="C5E0E0"/>
                  <w:tcMar>
                    <w:top w:w="120" w:type="dxa"/>
                    <w:left w:w="120" w:type="dxa"/>
                    <w:bottom w:w="120" w:type="dxa"/>
                    <w:right w:w="120" w:type="dxa"/>
                  </w:tcMar>
                  <w:vAlign w:val="center"/>
                </w:tcPr>
                <w:p w14:paraId="04D15434" w14:textId="77777777" w:rsidR="002336B1" w:rsidRDefault="00000000">
                  <w:pPr>
                    <w:jc w:val="center"/>
                  </w:pPr>
                  <w:r>
                    <w:rPr>
                      <w:rFonts w:cs="Arial"/>
                      <w:b/>
                      <w:bCs/>
                      <w:color w:val="1B6B6B"/>
                      <w:sz w:val="18"/>
                      <w:szCs w:val="18"/>
                    </w:rPr>
                    <w:t>OUTPUT</w:t>
                  </w:r>
                </w:p>
              </w:tc>
            </w:tr>
          </w:tbl>
          <w:p w14:paraId="7CD333FB" w14:textId="77777777" w:rsidR="002336B1" w:rsidRDefault="002336B1">
            <w:pPr>
              <w:spacing w:before="40" w:after="40"/>
            </w:pPr>
          </w:p>
        </w:tc>
      </w:tr>
    </w:tbl>
    <w:p w14:paraId="78611D13" w14:textId="77777777" w:rsidR="002336B1" w:rsidRDefault="002336B1">
      <w:pPr>
        <w:spacing w:before="200" w:after="120"/>
      </w:pPr>
    </w:p>
    <w:p w14:paraId="40A55DAF" w14:textId="77777777" w:rsidR="002336B1" w:rsidRDefault="00000000">
      <w:pPr>
        <w:spacing w:before="80" w:after="120" w:line="320" w:lineRule="auto"/>
      </w:pPr>
      <w:r>
        <w:rPr>
          <w:rFonts w:cs="Arial"/>
          <w:color w:val="1A1A1A"/>
        </w:rPr>
        <w:t>This architecture eliminates hallucination at the LO derivation step because the implied LO is not independently generated — it is a one-to-one logical consequence of the activity already designed. The AI is not asking 'what LO should I target?' It is asking 'given this activity I just designed, what will a student demonstrably be able to do if they complete it successfully?' That is a derivation, not a retrieval.</w:t>
      </w:r>
    </w:p>
    <w:p w14:paraId="2307DF1D" w14:textId="77777777" w:rsidR="002336B1" w:rsidRDefault="002336B1">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7329"/>
      </w:tblGrid>
      <w:tr w:rsidR="002336B1" w14:paraId="43A0A0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6B6B"/>
            <w:tcMar>
              <w:top w:w="120" w:type="dxa"/>
              <w:left w:w="160" w:type="dxa"/>
              <w:bottom w:w="120" w:type="dxa"/>
              <w:right w:w="160" w:type="dxa"/>
            </w:tcMar>
            <w:vAlign w:val="center"/>
          </w:tcPr>
          <w:p w14:paraId="00071B87" w14:textId="77777777" w:rsidR="002336B1" w:rsidRDefault="00000000">
            <w:pPr>
              <w:jc w:val="center"/>
            </w:pPr>
            <w:r>
              <w:rPr>
                <w:rFonts w:cs="Arial"/>
                <w:b/>
                <w:bCs/>
                <w:color w:val="FFFFFF"/>
                <w:sz w:val="20"/>
                <w:szCs w:val="20"/>
              </w:rPr>
              <w:t>ARCHITECTURAL PRINCIPLE</w:t>
            </w:r>
          </w:p>
        </w:tc>
        <w:tc>
          <w:tcPr>
            <w:tcW w:w="8160" w:type="dxa"/>
            <w:tcBorders>
              <w:top w:val="single" w:sz="1" w:space="0" w:color="CCCCCC"/>
              <w:left w:val="single" w:sz="1" w:space="0" w:color="CCCCCC"/>
              <w:bottom w:val="single" w:sz="1" w:space="0" w:color="CCCCCC"/>
              <w:right w:val="single" w:sz="1" w:space="0" w:color="CCCCCC"/>
            </w:tcBorders>
            <w:shd w:val="clear" w:color="auto" w:fill="E8F4F4"/>
            <w:tcMar>
              <w:top w:w="120" w:type="dxa"/>
              <w:left w:w="200" w:type="dxa"/>
              <w:bottom w:w="120" w:type="dxa"/>
              <w:right w:w="160" w:type="dxa"/>
            </w:tcMar>
          </w:tcPr>
          <w:p w14:paraId="2BB7C22A" w14:textId="77777777" w:rsidR="002336B1" w:rsidRDefault="00000000">
            <w:r>
              <w:rPr>
                <w:rFonts w:cs="Arial"/>
                <w:i/>
                <w:iCs/>
                <w:color w:val="1A1A1A"/>
              </w:rPr>
              <w:t>The lesson plan generator does not produce LOs as inputs. It produces LOs as outputs — as implied observable milestones that emerge from activity design. These implied LOs then become the precise inputs to the assessment constitution, creating a clean, traceable handoff between the two systems.</w:t>
            </w:r>
          </w:p>
        </w:tc>
      </w:tr>
    </w:tbl>
    <w:p w14:paraId="044C3E29" w14:textId="77777777" w:rsidR="002336B1" w:rsidRDefault="002336B1">
      <w:pPr>
        <w:spacing w:before="80" w:after="160"/>
      </w:pPr>
    </w:p>
    <w:p w14:paraId="7BF96C3B" w14:textId="77777777" w:rsidR="002336B1" w:rsidRDefault="002336B1">
      <w:pPr>
        <w:pBdr>
          <w:bottom w:val="single" w:sz="4" w:space="1" w:color="C5E0E0"/>
        </w:pBdr>
        <w:spacing w:before="200" w:after="200"/>
      </w:pPr>
    </w:p>
    <w:p w14:paraId="2AB9FC43" w14:textId="77777777" w:rsidR="002336B1" w:rsidRDefault="00000000">
      <w:pPr>
        <w:pStyle w:val="Heading1"/>
      </w:pPr>
      <w:r>
        <w:t>5. The Assessment Architecture — Ring-Fenced but Connected</w:t>
      </w:r>
    </w:p>
    <w:p w14:paraId="3C0F4E50" w14:textId="77777777" w:rsidR="002336B1" w:rsidRDefault="00000000">
      <w:pPr>
        <w:spacing w:before="80" w:after="120" w:line="320" w:lineRule="auto"/>
      </w:pPr>
      <w:r>
        <w:rPr>
          <w:rFonts w:cs="Arial"/>
          <w:color w:val="1A1A1A"/>
        </w:rPr>
        <w:t>Assessment presented a specific architectural tension: assessment time sits inside the period budget, making it operationally inseparable from the lesson plan. But the source documents and generation logic for assessment are entirely distinct from those for lesson planning. Combining them in one generation call would introduce significant hallucination risk as the AI blurs the boundary between teaching toward a competency and assessing its achievement.</w:t>
      </w:r>
    </w:p>
    <w:p w14:paraId="323C20D7" w14:textId="77777777" w:rsidR="002336B1" w:rsidRDefault="00000000">
      <w:pPr>
        <w:spacing w:before="80" w:after="120" w:line="320" w:lineRule="auto"/>
      </w:pPr>
      <w:r>
        <w:rPr>
          <w:rFonts w:cs="Arial"/>
          <w:color w:val="1A1A1A"/>
        </w:rPr>
        <w:lastRenderedPageBreak/>
        <w:t>The resolution separates decision authority cleanly between the two constitutions.</w:t>
      </w:r>
    </w:p>
    <w:p w14:paraId="47C4A069" w14:textId="77777777" w:rsidR="002336B1" w:rsidRDefault="002336B1">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336B1" w14:paraId="66BE75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6B6B"/>
            <w:tcMar>
              <w:top w:w="100" w:type="dxa"/>
              <w:left w:w="140" w:type="dxa"/>
              <w:bottom w:w="100" w:type="dxa"/>
              <w:right w:w="140" w:type="dxa"/>
            </w:tcMar>
          </w:tcPr>
          <w:p w14:paraId="5D4AC0D9" w14:textId="77777777" w:rsidR="002336B1" w:rsidRDefault="00000000">
            <w:r>
              <w:rPr>
                <w:rFonts w:cs="Arial"/>
                <w:b/>
                <w:bCs/>
                <w:color w:val="FFFFFF"/>
                <w:sz w:val="21"/>
                <w:szCs w:val="21"/>
              </w:rPr>
              <w:t>Lesson Plan Constitution Owns</w:t>
            </w:r>
          </w:p>
        </w:tc>
        <w:tc>
          <w:tcPr>
            <w:tcW w:w="6360" w:type="dxa"/>
            <w:tcBorders>
              <w:top w:val="single" w:sz="1" w:space="0" w:color="CCCCCC"/>
              <w:left w:val="single" w:sz="1" w:space="0" w:color="CCCCCC"/>
              <w:bottom w:val="single" w:sz="1" w:space="0" w:color="CCCCCC"/>
              <w:right w:val="single" w:sz="1" w:space="0" w:color="CCCCCC"/>
            </w:tcBorders>
            <w:shd w:val="clear" w:color="auto" w:fill="1B6B6B"/>
            <w:tcMar>
              <w:top w:w="100" w:type="dxa"/>
              <w:left w:w="140" w:type="dxa"/>
              <w:bottom w:w="100" w:type="dxa"/>
              <w:right w:w="140" w:type="dxa"/>
            </w:tcMar>
          </w:tcPr>
          <w:p w14:paraId="17D52378" w14:textId="77777777" w:rsidR="002336B1" w:rsidRDefault="00000000">
            <w:r>
              <w:rPr>
                <w:rFonts w:cs="Arial"/>
                <w:b/>
                <w:bCs/>
                <w:color w:val="FFFFFF"/>
                <w:sz w:val="21"/>
                <w:szCs w:val="21"/>
              </w:rPr>
              <w:t>Assessment Constitution Owns</w:t>
            </w:r>
          </w:p>
        </w:tc>
      </w:tr>
      <w:tr w:rsidR="002336B1" w14:paraId="485F64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33BD16ED" w14:textId="77777777" w:rsidR="002336B1" w:rsidRDefault="00000000">
            <w:r>
              <w:rPr>
                <w:rFonts w:cs="Arial"/>
                <w:color w:val="1A1A1A"/>
                <w:sz w:val="21"/>
                <w:szCs w:val="21"/>
              </w:rPr>
              <w:t>Time allocation decisions</w:t>
            </w:r>
          </w:p>
        </w:tc>
        <w:tc>
          <w:tcPr>
            <w:tcW w:w="636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782541EF" w14:textId="77777777" w:rsidR="002336B1" w:rsidRDefault="00000000">
            <w:r>
              <w:rPr>
                <w:rFonts w:cs="Arial"/>
                <w:color w:val="1A1A1A"/>
                <w:sz w:val="21"/>
                <w:szCs w:val="21"/>
              </w:rPr>
              <w:t>What the assessment looks like</w:t>
            </w:r>
          </w:p>
        </w:tc>
      </w:tr>
      <w:tr w:rsidR="002336B1" w14:paraId="27146A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A86454" w14:textId="77777777" w:rsidR="002336B1" w:rsidRDefault="00000000">
            <w:r>
              <w:rPr>
                <w:rFonts w:cs="Arial"/>
                <w:color w:val="1A1A1A"/>
                <w:sz w:val="21"/>
                <w:szCs w:val="21"/>
              </w:rPr>
              <w:t>Assessment slot reservation (minutes)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1DB0CC" w14:textId="77777777" w:rsidR="002336B1" w:rsidRDefault="00000000">
            <w:r>
              <w:rPr>
                <w:rFonts w:cs="Arial"/>
                <w:color w:val="1A1A1A"/>
                <w:sz w:val="21"/>
                <w:szCs w:val="21"/>
              </w:rPr>
              <w:t>Question type and cognitive demand</w:t>
            </w:r>
          </w:p>
        </w:tc>
      </w:tr>
      <w:tr w:rsidR="002336B1" w14:paraId="1CCD10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5545F1EF" w14:textId="77777777" w:rsidR="002336B1" w:rsidRDefault="00000000">
            <w:r>
              <w:rPr>
                <w:rFonts w:cs="Arial"/>
                <w:color w:val="1A1A1A"/>
                <w:sz w:val="21"/>
                <w:szCs w:val="21"/>
              </w:rPr>
              <w:t>Competency target for the slot</w:t>
            </w:r>
          </w:p>
        </w:tc>
        <w:tc>
          <w:tcPr>
            <w:tcW w:w="636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775F4453" w14:textId="77777777" w:rsidR="002336B1" w:rsidRDefault="00000000">
            <w:r>
              <w:rPr>
                <w:rFonts w:cs="Arial"/>
                <w:color w:val="1A1A1A"/>
                <w:sz w:val="21"/>
                <w:szCs w:val="21"/>
              </w:rPr>
              <w:t>NCF-aligned assessment design</w:t>
            </w:r>
          </w:p>
        </w:tc>
      </w:tr>
      <w:tr w:rsidR="002336B1" w14:paraId="6D2ABD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01AAF4" w14:textId="77777777" w:rsidR="002336B1" w:rsidRDefault="00000000">
            <w:r>
              <w:rPr>
                <w:rFonts w:cs="Arial"/>
                <w:color w:val="1A1A1A"/>
                <w:sz w:val="21"/>
                <w:szCs w:val="21"/>
              </w:rPr>
              <w:t>Activity-derived implied LO as handoff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07F410" w14:textId="77777777" w:rsidR="002336B1" w:rsidRDefault="00000000">
            <w:r>
              <w:rPr>
                <w:rFonts w:cs="Arial"/>
                <w:color w:val="1A1A1A"/>
                <w:sz w:val="21"/>
                <w:szCs w:val="21"/>
              </w:rPr>
              <w:t>Whether implied LO was achieved</w:t>
            </w:r>
          </w:p>
        </w:tc>
      </w:tr>
    </w:tbl>
    <w:p w14:paraId="1BBDE7C9" w14:textId="77777777" w:rsidR="002336B1" w:rsidRDefault="002336B1">
      <w:pPr>
        <w:spacing w:before="200" w:after="120"/>
      </w:pPr>
    </w:p>
    <w:p w14:paraId="5F71C1B1" w14:textId="77777777" w:rsidR="002336B1" w:rsidRDefault="00000000">
      <w:pPr>
        <w:spacing w:before="80" w:after="120" w:line="320" w:lineRule="auto"/>
      </w:pPr>
      <w:r>
        <w:rPr>
          <w:rFonts w:cs="Arial"/>
          <w:color w:val="1A1A1A"/>
        </w:rPr>
        <w:t>The handoff between the two constitutions is a structured JSON object: period number, teaching time in minutes, assessment slot in minutes, the competency target, and the implied LO from the activity immediately preceding the slot. The assessment constitution receives this as a fixed constraint and governs only what fills it. It never needs to consult the NCERT LO document or the Curricular Goals document independently — everything it needs is already derived and specific.</w:t>
      </w:r>
    </w:p>
    <w:p w14:paraId="2A207B91" w14:textId="77777777" w:rsidR="002336B1" w:rsidRDefault="002336B1">
      <w:pPr>
        <w:pBdr>
          <w:bottom w:val="single" w:sz="4" w:space="1" w:color="C5E0E0"/>
        </w:pBdr>
        <w:spacing w:before="200" w:after="200"/>
      </w:pPr>
    </w:p>
    <w:p w14:paraId="3B314277" w14:textId="77777777" w:rsidR="002336B1" w:rsidRDefault="00000000">
      <w:pPr>
        <w:pStyle w:val="Heading1"/>
      </w:pPr>
      <w:r>
        <w:t>6. The Settled Minimal Base Case</w:t>
      </w:r>
    </w:p>
    <w:p w14:paraId="6BCFB26F" w14:textId="77777777" w:rsidR="002336B1" w:rsidRDefault="00000000">
      <w:pPr>
        <w:spacing w:before="80" w:after="120" w:line="320" w:lineRule="auto"/>
      </w:pPr>
      <w:r>
        <w:rPr>
          <w:rFonts w:cs="Arial"/>
          <w:color w:val="1A1A1A"/>
        </w:rPr>
        <w:t>After systematically evaluating every candidate document, the minimal base case for lesson plan generation across all subjects is three documents and one pre-computed data structure.</w:t>
      </w:r>
    </w:p>
    <w:p w14:paraId="19FD390C" w14:textId="77777777" w:rsidR="002336B1" w:rsidRDefault="002336B1">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336B1" w14:paraId="063BAE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6B6B"/>
            <w:tcMar>
              <w:top w:w="100" w:type="dxa"/>
              <w:left w:w="140" w:type="dxa"/>
              <w:bottom w:w="100" w:type="dxa"/>
              <w:right w:w="140" w:type="dxa"/>
            </w:tcMar>
          </w:tcPr>
          <w:p w14:paraId="22824A6B" w14:textId="77777777" w:rsidR="002336B1" w:rsidRDefault="00000000">
            <w:r>
              <w:rPr>
                <w:rFonts w:cs="Arial"/>
                <w:b/>
                <w:bCs/>
                <w:color w:val="FFFFFF"/>
                <w:sz w:val="21"/>
                <w:szCs w:val="21"/>
              </w:rPr>
              <w:t>Document</w:t>
            </w:r>
          </w:p>
        </w:tc>
        <w:tc>
          <w:tcPr>
            <w:tcW w:w="3480" w:type="dxa"/>
            <w:tcBorders>
              <w:top w:val="single" w:sz="1" w:space="0" w:color="CCCCCC"/>
              <w:left w:val="single" w:sz="1" w:space="0" w:color="CCCCCC"/>
              <w:bottom w:val="single" w:sz="1" w:space="0" w:color="CCCCCC"/>
              <w:right w:val="single" w:sz="1" w:space="0" w:color="CCCCCC"/>
            </w:tcBorders>
            <w:shd w:val="clear" w:color="auto" w:fill="1B6B6B"/>
            <w:tcMar>
              <w:top w:w="100" w:type="dxa"/>
              <w:left w:w="140" w:type="dxa"/>
              <w:bottom w:w="100" w:type="dxa"/>
              <w:right w:w="140" w:type="dxa"/>
            </w:tcMar>
          </w:tcPr>
          <w:p w14:paraId="7B6DA22A" w14:textId="77777777" w:rsidR="002336B1" w:rsidRDefault="00000000">
            <w:r>
              <w:rPr>
                <w:rFonts w:cs="Arial"/>
                <w:b/>
                <w:bCs/>
                <w:color w:val="FFFFFF"/>
                <w:sz w:val="21"/>
                <w:szCs w:val="21"/>
              </w:rPr>
              <w:t>Role in Lesson Plan Generation</w:t>
            </w:r>
          </w:p>
        </w:tc>
        <w:tc>
          <w:tcPr>
            <w:tcW w:w="3480" w:type="dxa"/>
            <w:tcBorders>
              <w:top w:val="single" w:sz="1" w:space="0" w:color="CCCCCC"/>
              <w:left w:val="single" w:sz="1" w:space="0" w:color="CCCCCC"/>
              <w:bottom w:val="single" w:sz="1" w:space="0" w:color="CCCCCC"/>
              <w:right w:val="single" w:sz="1" w:space="0" w:color="CCCCCC"/>
            </w:tcBorders>
            <w:shd w:val="clear" w:color="auto" w:fill="1B6B6B"/>
            <w:tcMar>
              <w:top w:w="100" w:type="dxa"/>
              <w:left w:w="140" w:type="dxa"/>
              <w:bottom w:w="100" w:type="dxa"/>
              <w:right w:w="140" w:type="dxa"/>
            </w:tcMar>
          </w:tcPr>
          <w:p w14:paraId="37F32769" w14:textId="77777777" w:rsidR="002336B1" w:rsidRDefault="00000000">
            <w:r>
              <w:rPr>
                <w:rFonts w:cs="Arial"/>
                <w:b/>
                <w:bCs/>
                <w:color w:val="FFFFFF"/>
                <w:sz w:val="21"/>
                <w:szCs w:val="21"/>
              </w:rPr>
              <w:t>What It Must NOT Do</w:t>
            </w:r>
          </w:p>
        </w:tc>
      </w:tr>
      <w:tr w:rsidR="002336B1" w14:paraId="062FEE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3A98B58D" w14:textId="77777777" w:rsidR="002336B1" w:rsidRDefault="00000000">
            <w:r>
              <w:rPr>
                <w:rFonts w:cs="Arial"/>
                <w:color w:val="1A1A1A"/>
                <w:sz w:val="21"/>
                <w:szCs w:val="21"/>
              </w:rPr>
              <w:t>Curricular Goals</w:t>
            </w:r>
          </w:p>
        </w:tc>
        <w:tc>
          <w:tcPr>
            <w:tcW w:w="34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0F79B612" w14:textId="77777777" w:rsidR="002336B1" w:rsidRDefault="00000000">
            <w:r>
              <w:rPr>
                <w:rFonts w:cs="Arial"/>
                <w:color w:val="1A1A1A"/>
                <w:sz w:val="21"/>
                <w:szCs w:val="21"/>
              </w:rPr>
              <w:t>Exact wording and meaning of pre-identified C-codes only</w:t>
            </w:r>
          </w:p>
        </w:tc>
        <w:tc>
          <w:tcPr>
            <w:tcW w:w="34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4B4A8DD4" w14:textId="77777777" w:rsidR="002336B1" w:rsidRDefault="00000000">
            <w:r>
              <w:rPr>
                <w:rFonts w:cs="Arial"/>
                <w:color w:val="1A1A1A"/>
                <w:sz w:val="21"/>
                <w:szCs w:val="21"/>
              </w:rPr>
              <w:t>Drive competency selection, coverage decisions, or optimization</w:t>
            </w:r>
          </w:p>
        </w:tc>
      </w:tr>
      <w:tr w:rsidR="002336B1" w14:paraId="155A39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D157B0" w14:textId="77777777" w:rsidR="002336B1" w:rsidRDefault="00000000">
            <w:r>
              <w:rPr>
                <w:rFonts w:cs="Arial"/>
                <w:color w:val="1A1A1A"/>
                <w:sz w:val="21"/>
                <w:szCs w:val="21"/>
              </w:rPr>
              <w:t>Pedagogy (incl. Content Selection)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1DFA3E" w14:textId="77777777" w:rsidR="002336B1" w:rsidRDefault="00000000">
            <w:r>
              <w:rPr>
                <w:rFonts w:cs="Arial"/>
                <w:color w:val="1A1A1A"/>
                <w:sz w:val="21"/>
                <w:szCs w:val="21"/>
              </w:rPr>
              <w:t>Govern activity type, content prioritisation, and period structure for this subject and stage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15E760" w14:textId="77777777" w:rsidR="002336B1" w:rsidRDefault="00000000">
            <w:r>
              <w:rPr>
                <w:rFonts w:cs="Arial"/>
                <w:color w:val="1A1A1A"/>
                <w:sz w:val="21"/>
                <w:szCs w:val="21"/>
              </w:rPr>
              <w:t>Override the time constraint or introduce activities not feasible in the available periods</w:t>
            </w:r>
          </w:p>
        </w:tc>
      </w:tr>
      <w:tr w:rsidR="002336B1" w14:paraId="64EF0F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4155EAC3" w14:textId="77777777" w:rsidR="002336B1" w:rsidRDefault="00000000">
            <w:r>
              <w:rPr>
                <w:rFonts w:cs="Arial"/>
                <w:color w:val="1A1A1A"/>
                <w:sz w:val="21"/>
                <w:szCs w:val="21"/>
              </w:rPr>
              <w:t>Chapter Mapping JSON</w:t>
            </w:r>
          </w:p>
        </w:tc>
        <w:tc>
          <w:tcPr>
            <w:tcW w:w="34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181C0ADE" w14:textId="77777777" w:rsidR="002336B1" w:rsidRDefault="00000000">
            <w:r>
              <w:rPr>
                <w:rFonts w:cs="Arial"/>
                <w:color w:val="1A1A1A"/>
                <w:sz w:val="21"/>
                <w:szCs w:val="21"/>
              </w:rPr>
              <w:t>Content spine — structured chapter summary, primary competencies with weights, assessment slot handoff data</w:t>
            </w:r>
          </w:p>
        </w:tc>
        <w:tc>
          <w:tcPr>
            <w:tcW w:w="34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06D999D4" w14:textId="77777777" w:rsidR="002336B1" w:rsidRDefault="00000000">
            <w:r>
              <w:rPr>
                <w:rFonts w:cs="Arial"/>
                <w:color w:val="1A1A1A"/>
                <w:sz w:val="21"/>
                <w:szCs w:val="21"/>
              </w:rPr>
              <w:t>Be supplemented by external content or re-evaluated at runtime</w:t>
            </w:r>
          </w:p>
        </w:tc>
      </w:tr>
      <w:tr w:rsidR="002336B1" w14:paraId="422619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tcPr>
          <w:p w14:paraId="423E8870" w14:textId="77777777" w:rsidR="002336B1" w:rsidRDefault="00000000">
            <w:r>
              <w:rPr>
                <w:rFonts w:cs="Arial"/>
                <w:i/>
                <w:iCs/>
                <w:color w:val="AA4444"/>
                <w:sz w:val="21"/>
                <w:szCs w:val="21"/>
              </w:rPr>
              <w:lastRenderedPageBreak/>
              <w:t>Learning Outcomes document</w:t>
            </w:r>
          </w:p>
        </w:tc>
        <w:tc>
          <w:tcPr>
            <w:tcW w:w="34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tcPr>
          <w:p w14:paraId="7404FD69" w14:textId="77777777" w:rsidR="002336B1" w:rsidRDefault="00000000">
            <w:r>
              <w:rPr>
                <w:rFonts w:cs="Arial"/>
                <w:color w:val="AA4444"/>
                <w:sz w:val="21"/>
                <w:szCs w:val="21"/>
              </w:rPr>
              <w:t>REMOVED from base case — LOs are outputs of activity design, not inputs to it</w:t>
            </w:r>
          </w:p>
        </w:tc>
        <w:tc>
          <w:tcPr>
            <w:tcW w:w="34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tcPr>
          <w:p w14:paraId="7E7AA558" w14:textId="77777777" w:rsidR="002336B1" w:rsidRDefault="00000000">
            <w:r>
              <w:rPr>
                <w:rFonts w:cs="Arial"/>
                <w:color w:val="AA4444"/>
                <w:sz w:val="21"/>
                <w:szCs w:val="21"/>
              </w:rPr>
              <w:t>—</w:t>
            </w:r>
          </w:p>
        </w:tc>
      </w:tr>
    </w:tbl>
    <w:p w14:paraId="4A9CF4B3" w14:textId="77777777" w:rsidR="002336B1" w:rsidRDefault="002336B1">
      <w:pPr>
        <w:spacing w:before="200" w:after="160"/>
      </w:pPr>
    </w:p>
    <w:p w14:paraId="0264481B" w14:textId="77777777" w:rsidR="002336B1" w:rsidRDefault="00000000">
      <w:pPr>
        <w:spacing w:before="80" w:after="120" w:line="320" w:lineRule="auto"/>
      </w:pPr>
      <w:r>
        <w:rPr>
          <w:rFonts w:cs="Arial"/>
          <w:color w:val="1A1A1A"/>
        </w:rPr>
        <w:t>This base case holds across all subjects. Subject-specific cognitive architecture differences — Social Science as content-bound transformation, Languages as language acts on text, Mathematics as progressive problem working, Science as developmental layer analysis — are carried within the Pedagogy document, not by adding or removing documents from the base case.</w:t>
      </w:r>
    </w:p>
    <w:p w14:paraId="5C2ED573" w14:textId="77777777" w:rsidR="002336B1" w:rsidRDefault="002336B1">
      <w:pPr>
        <w:pBdr>
          <w:bottom w:val="single" w:sz="4" w:space="1" w:color="C5E0E0"/>
        </w:pBdr>
        <w:spacing w:before="200" w:after="200"/>
      </w:pPr>
    </w:p>
    <w:p w14:paraId="0BBF8BFA" w14:textId="77777777" w:rsidR="002336B1" w:rsidRDefault="00000000">
      <w:pPr>
        <w:pStyle w:val="Heading1"/>
      </w:pPr>
      <w:r>
        <w:t>7. The Three-Constitution Architecture</w:t>
      </w:r>
    </w:p>
    <w:p w14:paraId="4E69AF37" w14:textId="77777777" w:rsidR="002336B1" w:rsidRDefault="00000000">
      <w:pPr>
        <w:spacing w:before="80" w:after="120" w:line="320" w:lineRule="auto"/>
      </w:pPr>
      <w:r>
        <w:rPr>
          <w:rFonts w:cs="Arial"/>
          <w:color w:val="1A1A1A"/>
        </w:rPr>
        <w:t>The lesson plan constitution is the second of three constitutions in Aruvi's generation system. Each constitution governs a distinct phase, receives specific inputs, and produces a specific output that serves as input to the next phase.</w:t>
      </w:r>
    </w:p>
    <w:p w14:paraId="4773B010" w14:textId="77777777" w:rsidR="002336B1" w:rsidRDefault="002336B1">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2336B1" w14:paraId="42B825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6B6B"/>
            <w:tcMar>
              <w:top w:w="100" w:type="dxa"/>
              <w:left w:w="140" w:type="dxa"/>
              <w:bottom w:w="100" w:type="dxa"/>
              <w:right w:w="140" w:type="dxa"/>
            </w:tcMar>
          </w:tcPr>
          <w:p w14:paraId="3C3642E9" w14:textId="77777777" w:rsidR="002336B1" w:rsidRDefault="00000000">
            <w:r>
              <w:rPr>
                <w:rFonts w:cs="Arial"/>
                <w:b/>
                <w:bCs/>
                <w:color w:val="FFFFFF"/>
                <w:sz w:val="21"/>
                <w:szCs w:val="21"/>
              </w:rPr>
              <w:t>Constitution</w:t>
            </w:r>
          </w:p>
        </w:tc>
        <w:tc>
          <w:tcPr>
            <w:tcW w:w="3280" w:type="dxa"/>
            <w:tcBorders>
              <w:top w:val="single" w:sz="1" w:space="0" w:color="CCCCCC"/>
              <w:left w:val="single" w:sz="1" w:space="0" w:color="CCCCCC"/>
              <w:bottom w:val="single" w:sz="1" w:space="0" w:color="CCCCCC"/>
              <w:right w:val="single" w:sz="1" w:space="0" w:color="CCCCCC"/>
            </w:tcBorders>
            <w:shd w:val="clear" w:color="auto" w:fill="1B6B6B"/>
            <w:tcMar>
              <w:top w:w="100" w:type="dxa"/>
              <w:left w:w="140" w:type="dxa"/>
              <w:bottom w:w="100" w:type="dxa"/>
              <w:right w:w="140" w:type="dxa"/>
            </w:tcMar>
          </w:tcPr>
          <w:p w14:paraId="08B1AA1B" w14:textId="77777777" w:rsidR="002336B1" w:rsidRDefault="00000000">
            <w:r>
              <w:rPr>
                <w:rFonts w:cs="Arial"/>
                <w:b/>
                <w:bCs/>
                <w:color w:val="FFFFFF"/>
                <w:sz w:val="21"/>
                <w:szCs w:val="21"/>
              </w:rPr>
              <w:t>Inputs</w:t>
            </w:r>
          </w:p>
        </w:tc>
        <w:tc>
          <w:tcPr>
            <w:tcW w:w="3280" w:type="dxa"/>
            <w:tcBorders>
              <w:top w:val="single" w:sz="1" w:space="0" w:color="CCCCCC"/>
              <w:left w:val="single" w:sz="1" w:space="0" w:color="CCCCCC"/>
              <w:bottom w:val="single" w:sz="1" w:space="0" w:color="CCCCCC"/>
              <w:right w:val="single" w:sz="1" w:space="0" w:color="CCCCCC"/>
            </w:tcBorders>
            <w:shd w:val="clear" w:color="auto" w:fill="1B6B6B"/>
            <w:tcMar>
              <w:top w:w="100" w:type="dxa"/>
              <w:left w:w="140" w:type="dxa"/>
              <w:bottom w:w="100" w:type="dxa"/>
              <w:right w:w="140" w:type="dxa"/>
            </w:tcMar>
          </w:tcPr>
          <w:p w14:paraId="22D78FE6" w14:textId="77777777" w:rsidR="002336B1" w:rsidRDefault="00000000">
            <w:r>
              <w:rPr>
                <w:rFonts w:cs="Arial"/>
                <w:b/>
                <w:bCs/>
                <w:color w:val="FFFFFF"/>
                <w:sz w:val="21"/>
                <w:szCs w:val="21"/>
              </w:rPr>
              <w:t>Outputs</w:t>
            </w:r>
          </w:p>
        </w:tc>
      </w:tr>
      <w:tr w:rsidR="002336B1" w14:paraId="705338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2D959CDF" w14:textId="77777777" w:rsidR="002336B1" w:rsidRDefault="00000000">
            <w:r>
              <w:rPr>
                <w:rFonts w:cs="Arial"/>
                <w:color w:val="1A1A1A"/>
                <w:sz w:val="21"/>
                <w:szCs w:val="21"/>
              </w:rPr>
              <w:t>Chapter Mapping Constitution</w:t>
            </w:r>
          </w:p>
        </w:tc>
        <w:tc>
          <w:tcPr>
            <w:tcW w:w="32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5FAFE190" w14:textId="77777777" w:rsidR="002336B1" w:rsidRDefault="00000000">
            <w:r>
              <w:rPr>
                <w:rFonts w:cs="Arial"/>
                <w:color w:val="1A1A1A"/>
                <w:sz w:val="21"/>
                <w:szCs w:val="21"/>
              </w:rPr>
              <w:t>Full NCERT textbook chapter + Curricular Goals document</w:t>
            </w:r>
          </w:p>
        </w:tc>
        <w:tc>
          <w:tcPr>
            <w:tcW w:w="32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796D473F" w14:textId="77777777" w:rsidR="002336B1" w:rsidRDefault="00000000">
            <w:r>
              <w:rPr>
                <w:rFonts w:cs="Arial"/>
                <w:color w:val="1A1A1A"/>
                <w:sz w:val="21"/>
                <w:szCs w:val="21"/>
              </w:rPr>
              <w:t>Competencies + weight scores + structured chapter summary JSON</w:t>
            </w:r>
          </w:p>
        </w:tc>
      </w:tr>
      <w:tr w:rsidR="002336B1" w14:paraId="2DFE48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A55692" w14:textId="77777777" w:rsidR="002336B1" w:rsidRDefault="00000000">
            <w:r>
              <w:rPr>
                <w:rFonts w:cs="Arial"/>
                <w:color w:val="1A1A1A"/>
                <w:sz w:val="21"/>
                <w:szCs w:val="21"/>
              </w:rPr>
              <w:t>Lesson Plan Constitution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F6E758" w14:textId="77777777" w:rsidR="002336B1" w:rsidRDefault="00000000">
            <w:r>
              <w:rPr>
                <w:rFonts w:cs="Arial"/>
                <w:color w:val="1A1A1A"/>
                <w:sz w:val="21"/>
                <w:szCs w:val="21"/>
              </w:rPr>
              <w:t>Chapter Mapping JSON + Pedagogy + Curricular Goals (lookup only)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15FFAB" w14:textId="77777777" w:rsidR="002336B1" w:rsidRDefault="00000000">
            <w:r>
              <w:rPr>
                <w:rFonts w:cs="Arial"/>
                <w:color w:val="1A1A1A"/>
                <w:sz w:val="21"/>
                <w:szCs w:val="21"/>
              </w:rPr>
              <w:t>Period structure + activities + implied LOs + assessment slot handoff</w:t>
            </w:r>
          </w:p>
        </w:tc>
      </w:tr>
      <w:tr w:rsidR="002336B1" w14:paraId="0161D2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0F2190A0" w14:textId="77777777" w:rsidR="002336B1" w:rsidRDefault="00000000">
            <w:r>
              <w:rPr>
                <w:rFonts w:cs="Arial"/>
                <w:color w:val="1A1A1A"/>
                <w:sz w:val="21"/>
                <w:szCs w:val="21"/>
              </w:rPr>
              <w:t>Assessment Constitution</w:t>
            </w:r>
          </w:p>
        </w:tc>
        <w:tc>
          <w:tcPr>
            <w:tcW w:w="32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15B608EB" w14:textId="77777777" w:rsidR="002336B1" w:rsidRDefault="00000000">
            <w:r>
              <w:rPr>
                <w:rFonts w:cs="Arial"/>
                <w:color w:val="1A1A1A"/>
                <w:sz w:val="21"/>
                <w:szCs w:val="21"/>
              </w:rPr>
              <w:t>Implied LOs + assessment slot (time + competency) from lesson plan</w:t>
            </w:r>
          </w:p>
        </w:tc>
        <w:tc>
          <w:tcPr>
            <w:tcW w:w="3280" w:type="dxa"/>
            <w:tcBorders>
              <w:top w:val="single" w:sz="1" w:space="0" w:color="CCCCCC"/>
              <w:left w:val="single" w:sz="1" w:space="0" w:color="CCCCCC"/>
              <w:bottom w:val="single" w:sz="1" w:space="0" w:color="CCCCCC"/>
              <w:right w:val="single" w:sz="1" w:space="0" w:color="CCCCCC"/>
            </w:tcBorders>
            <w:shd w:val="clear" w:color="auto" w:fill="E8F4F4"/>
            <w:tcMar>
              <w:top w:w="100" w:type="dxa"/>
              <w:left w:w="140" w:type="dxa"/>
              <w:bottom w:w="100" w:type="dxa"/>
              <w:right w:w="140" w:type="dxa"/>
            </w:tcMar>
          </w:tcPr>
          <w:p w14:paraId="0380DB18" w14:textId="77777777" w:rsidR="002336B1" w:rsidRDefault="00000000">
            <w:r>
              <w:rPr>
                <w:rFonts w:cs="Arial"/>
                <w:color w:val="1A1A1A"/>
                <w:sz w:val="21"/>
                <w:szCs w:val="21"/>
              </w:rPr>
              <w:t>Assessment artifact fitted to the reserved time slot</w:t>
            </w:r>
          </w:p>
        </w:tc>
      </w:tr>
    </w:tbl>
    <w:p w14:paraId="20CCCE3A" w14:textId="77777777" w:rsidR="002336B1" w:rsidRDefault="002336B1">
      <w:pPr>
        <w:spacing w:before="200" w:after="120"/>
      </w:pPr>
    </w:p>
    <w:p w14:paraId="6C105824" w14:textId="77777777" w:rsidR="002336B1" w:rsidRDefault="00000000">
      <w:pPr>
        <w:spacing w:before="80" w:after="120" w:line="320" w:lineRule="auto"/>
      </w:pPr>
      <w:r>
        <w:rPr>
          <w:rFonts w:cs="Arial"/>
          <w:color w:val="1A1A1A"/>
        </w:rPr>
        <w:t>The three constitutions are ring-fenced — each one operates on its given inputs without reopening the decisions of the previous phase. The handoffs are structured data objects, not prose descriptions. This keeps each generation call clean, bounded, and auditable.</w:t>
      </w:r>
    </w:p>
    <w:p w14:paraId="4A1256F3" w14:textId="77777777" w:rsidR="002336B1" w:rsidRDefault="002336B1">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7728"/>
      </w:tblGrid>
      <w:tr w:rsidR="002336B1" w14:paraId="55ED9F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6B6B"/>
            <w:tcMar>
              <w:top w:w="120" w:type="dxa"/>
              <w:left w:w="160" w:type="dxa"/>
              <w:bottom w:w="120" w:type="dxa"/>
              <w:right w:w="160" w:type="dxa"/>
            </w:tcMar>
            <w:vAlign w:val="center"/>
          </w:tcPr>
          <w:p w14:paraId="3C9E7FB8" w14:textId="77777777" w:rsidR="002336B1" w:rsidRDefault="00000000">
            <w:pPr>
              <w:jc w:val="center"/>
            </w:pPr>
            <w:r>
              <w:rPr>
                <w:rFonts w:cs="Arial"/>
                <w:b/>
                <w:bCs/>
                <w:color w:val="FFFFFF"/>
                <w:sz w:val="20"/>
                <w:szCs w:val="20"/>
              </w:rPr>
              <w:t>DESIGN PHILOSOPHY</w:t>
            </w:r>
          </w:p>
        </w:tc>
        <w:tc>
          <w:tcPr>
            <w:tcW w:w="8160" w:type="dxa"/>
            <w:tcBorders>
              <w:top w:val="single" w:sz="1" w:space="0" w:color="CCCCCC"/>
              <w:left w:val="single" w:sz="1" w:space="0" w:color="CCCCCC"/>
              <w:bottom w:val="single" w:sz="1" w:space="0" w:color="CCCCCC"/>
              <w:right w:val="single" w:sz="1" w:space="0" w:color="CCCCCC"/>
            </w:tcBorders>
            <w:shd w:val="clear" w:color="auto" w:fill="E8F4F4"/>
            <w:tcMar>
              <w:top w:w="120" w:type="dxa"/>
              <w:left w:w="200" w:type="dxa"/>
              <w:bottom w:w="120" w:type="dxa"/>
              <w:right w:w="160" w:type="dxa"/>
            </w:tcMar>
          </w:tcPr>
          <w:p w14:paraId="27968EB6" w14:textId="77777777" w:rsidR="002336B1" w:rsidRDefault="00000000">
            <w:r>
              <w:rPr>
                <w:rFonts w:cs="Arial"/>
                <w:i/>
                <w:iCs/>
                <w:color w:val="1A1A1A"/>
              </w:rPr>
              <w:t>Three constitutions. Clean handoffs. No re-enactment of prior work. No hallucination vectors introduced by document overlap. Each constitution does one thing well and passes a precise output to the next.</w:t>
            </w:r>
          </w:p>
        </w:tc>
      </w:tr>
    </w:tbl>
    <w:p w14:paraId="181D2FB3" w14:textId="77777777" w:rsidR="002336B1" w:rsidRDefault="002336B1">
      <w:pPr>
        <w:spacing w:before="80" w:after="160"/>
      </w:pPr>
    </w:p>
    <w:p w14:paraId="32BBAF62" w14:textId="77777777" w:rsidR="002336B1" w:rsidRDefault="002336B1">
      <w:pPr>
        <w:pBdr>
          <w:bottom w:val="single" w:sz="4" w:space="1" w:color="C5E0E0"/>
        </w:pBdr>
        <w:spacing w:before="200" w:after="200"/>
      </w:pPr>
    </w:p>
    <w:p w14:paraId="654415C5" w14:textId="77777777" w:rsidR="002336B1" w:rsidRDefault="00000000">
      <w:pPr>
        <w:pStyle w:val="Heading1"/>
      </w:pPr>
      <w:r>
        <w:t>8. Why the Base Case Is Universal</w:t>
      </w:r>
    </w:p>
    <w:p w14:paraId="0004183D" w14:textId="77777777" w:rsidR="002336B1" w:rsidRDefault="00000000">
      <w:pPr>
        <w:spacing w:before="80" w:after="120" w:line="320" w:lineRule="auto"/>
      </w:pPr>
      <w:r>
        <w:rPr>
          <w:rFonts w:cs="Arial"/>
          <w:color w:val="1A1A1A"/>
        </w:rPr>
        <w:t>A deliberate decision was made to establish a single base case that holds across all subjects rather than separate minimal sets per subject group. This was not obvious at the outset — the cognitive architecture differences across subject groups are real and were the basis for separate chapter mapping constitutions.</w:t>
      </w:r>
    </w:p>
    <w:p w14:paraId="38227E54" w14:textId="77777777" w:rsidR="002336B1" w:rsidRDefault="00000000">
      <w:pPr>
        <w:spacing w:before="80" w:after="120" w:line="320" w:lineRule="auto"/>
      </w:pPr>
      <w:r>
        <w:rPr>
          <w:rFonts w:cs="Arial"/>
          <w:color w:val="1A1A1A"/>
        </w:rPr>
        <w:t>The resolution came from recognising where those differences actually live. The fact that a Maths lesson must progress through graded exercises is encoded in the Maths Pedagogy document. The fact that a Language lesson must be structured around language acts is encoded in the Language Pedagogy document. The lesson plan constitution does not need to know the subject's cognitive architecture — the Pedagogy document carries that knowledge into the generation prompt.</w:t>
      </w:r>
    </w:p>
    <w:p w14:paraId="1E552FC4" w14:textId="77777777" w:rsidR="002336B1" w:rsidRDefault="00000000">
      <w:pPr>
        <w:spacing w:before="80" w:after="120" w:line="320" w:lineRule="auto"/>
      </w:pPr>
      <w:r>
        <w:rPr>
          <w:rFonts w:cs="Arial"/>
          <w:color w:val="1A1A1A"/>
        </w:rPr>
        <w:t>The constitution's job is to tell the AI how to use whatever the Pedagogy document says, not to replicate the subject's cognitive architecture within the constitution itself. This is what makes the base case universal: the structure is the same across subjects; the content of the documents within that structure varies.</w:t>
      </w:r>
    </w:p>
    <w:p w14:paraId="45162BF9" w14:textId="77777777" w:rsidR="002336B1" w:rsidRDefault="00000000">
      <w:pPr>
        <w:spacing w:before="80" w:after="120" w:line="320" w:lineRule="auto"/>
      </w:pPr>
      <w:r>
        <w:rPr>
          <w:rFonts w:cs="Arial"/>
          <w:color w:val="1A1A1A"/>
        </w:rPr>
        <w:t>One noted exception: Mathematics Pedagogy is the same across all stages in the NCF. This means for Maths, the stage-level specificity that other subjects receive from their Pedagogy document must come entirely from the Chapter Mapping JSON and Curricular Goals. The base case structure accommodates this without modification.</w:t>
      </w:r>
    </w:p>
    <w:p w14:paraId="7EA1CB04" w14:textId="77777777" w:rsidR="002336B1" w:rsidRDefault="002336B1">
      <w:pPr>
        <w:pBdr>
          <w:bottom w:val="single" w:sz="4" w:space="1" w:color="C5E0E0"/>
        </w:pBdr>
        <w:spacing w:before="200" w:after="200"/>
      </w:pPr>
    </w:p>
    <w:p w14:paraId="1FF6574F" w14:textId="77777777" w:rsidR="002336B1" w:rsidRDefault="00000000">
      <w:pPr>
        <w:pStyle w:val="Heading1"/>
      </w:pPr>
      <w:r>
        <w:t>9. On Alternative Textbooks</w:t>
      </w:r>
    </w:p>
    <w:p w14:paraId="4880391B" w14:textId="77777777" w:rsidR="002336B1" w:rsidRDefault="00000000">
      <w:pPr>
        <w:spacing w:before="80" w:after="120" w:line="320" w:lineRule="auto"/>
      </w:pPr>
      <w:r>
        <w:rPr>
          <w:rFonts w:cs="Arial"/>
          <w:color w:val="1A1A1A"/>
        </w:rPr>
        <w:t>A question arose during the design process: does Aruvi's architecture accommodate schools that use alternative or supplementary textbooks — such as specialised science books used in some progressive schools — rather than or alongside the standard NCERT texts?</w:t>
      </w:r>
    </w:p>
    <w:p w14:paraId="7A1B9E9E" w14:textId="77777777" w:rsidR="002336B1" w:rsidRDefault="00000000">
      <w:pPr>
        <w:spacing w:before="80" w:after="120" w:line="320" w:lineRule="auto"/>
      </w:pPr>
      <w:r>
        <w:rPr>
          <w:rFonts w:cs="Arial"/>
          <w:color w:val="1A1A1A"/>
        </w:rPr>
        <w:t>The answer is yes, but only through the build process, not through runtime input. If a school uses an alternative textbook, the build tool runs on that book instead of or alongside the NCERT book, generating a parallel or replacement chapter mapping JSON. The constitution does not change. The vector store does not change. Only the JSON changes.</w:t>
      </w:r>
    </w:p>
    <w:p w14:paraId="10A0FD20" w14:textId="77777777" w:rsidR="002336B1" w:rsidRDefault="00000000">
      <w:pPr>
        <w:spacing w:before="80" w:after="120" w:line="320" w:lineRule="auto"/>
      </w:pPr>
      <w:r>
        <w:rPr>
          <w:rFonts w:cs="Arial"/>
          <w:color w:val="1A1A1A"/>
        </w:rPr>
        <w:t>Partial use — for example, three chapters from an alternative book and nine from NCERT — is handled by the principal selecting which chapters enter the annual plan. The generation system does not need to know the chapters came from different books. This is a future build decision, not a current prototype concern, but the architecture does not preclude it.</w:t>
      </w:r>
    </w:p>
    <w:p w14:paraId="0B1B737E" w14:textId="77777777" w:rsidR="002336B1" w:rsidRDefault="002336B1">
      <w:pPr>
        <w:pBdr>
          <w:bottom w:val="single" w:sz="4" w:space="1" w:color="C5E0E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6B1" w14:paraId="71C832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4"/>
            <w:tcMar>
              <w:top w:w="240" w:type="dxa"/>
              <w:left w:w="360" w:type="dxa"/>
              <w:bottom w:w="240" w:type="dxa"/>
              <w:right w:w="360" w:type="dxa"/>
            </w:tcMar>
          </w:tcPr>
          <w:p w14:paraId="372A6B76" w14:textId="77777777" w:rsidR="002336B1" w:rsidRDefault="00000000">
            <w:pPr>
              <w:spacing w:after="80"/>
              <w:jc w:val="center"/>
            </w:pPr>
            <w:r>
              <w:rPr>
                <w:rFonts w:cs="Arial"/>
                <w:b/>
                <w:bCs/>
                <w:color w:val="1B6B6B"/>
              </w:rPr>
              <w:t>Aruvi Knowledge Commons</w:t>
            </w:r>
          </w:p>
          <w:p w14:paraId="71695AAA" w14:textId="77777777" w:rsidR="002336B1" w:rsidRDefault="00000000">
            <w:pPr>
              <w:jc w:val="center"/>
            </w:pPr>
            <w:r>
              <w:rPr>
                <w:rFonts w:cs="Arial"/>
                <w:i/>
                <w:iCs/>
                <w:color w:val="666666"/>
                <w:sz w:val="20"/>
                <w:szCs w:val="20"/>
              </w:rPr>
              <w:t>This document records design decisions made during the development of Aruvi's Lesson Plan Constitution. It should be read alongside the Chapter Mapping Constitution rationale document and the Lesson Plan Constitution itself.</w:t>
            </w:r>
          </w:p>
        </w:tc>
      </w:tr>
    </w:tbl>
    <w:p w14:paraId="2856A203" w14:textId="77777777" w:rsidR="00F35EAA" w:rsidRDefault="00F35EAA"/>
    <w:sectPr w:rsidR="00F35EA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041DC"/>
    <w:multiLevelType w:val="hybridMultilevel"/>
    <w:tmpl w:val="CFE05712"/>
    <w:lvl w:ilvl="0" w:tplc="CC22AC78">
      <w:start w:val="1"/>
      <w:numFmt w:val="bullet"/>
      <w:lvlText w:val="●"/>
      <w:lvlJc w:val="left"/>
      <w:pPr>
        <w:ind w:left="720" w:hanging="360"/>
      </w:pPr>
    </w:lvl>
    <w:lvl w:ilvl="1" w:tplc="0368EE54">
      <w:start w:val="1"/>
      <w:numFmt w:val="bullet"/>
      <w:lvlText w:val="○"/>
      <w:lvlJc w:val="left"/>
      <w:pPr>
        <w:ind w:left="1440" w:hanging="360"/>
      </w:pPr>
    </w:lvl>
    <w:lvl w:ilvl="2" w:tplc="C5DABB5E">
      <w:start w:val="1"/>
      <w:numFmt w:val="bullet"/>
      <w:lvlText w:val="■"/>
      <w:lvlJc w:val="left"/>
      <w:pPr>
        <w:ind w:left="2160" w:hanging="360"/>
      </w:pPr>
    </w:lvl>
    <w:lvl w:ilvl="3" w:tplc="77D24A84">
      <w:start w:val="1"/>
      <w:numFmt w:val="bullet"/>
      <w:lvlText w:val="●"/>
      <w:lvlJc w:val="left"/>
      <w:pPr>
        <w:ind w:left="2880" w:hanging="360"/>
      </w:pPr>
    </w:lvl>
    <w:lvl w:ilvl="4" w:tplc="12C8FDA2">
      <w:start w:val="1"/>
      <w:numFmt w:val="bullet"/>
      <w:lvlText w:val="○"/>
      <w:lvlJc w:val="left"/>
      <w:pPr>
        <w:ind w:left="3600" w:hanging="360"/>
      </w:pPr>
    </w:lvl>
    <w:lvl w:ilvl="5" w:tplc="F0188F16">
      <w:start w:val="1"/>
      <w:numFmt w:val="bullet"/>
      <w:lvlText w:val="■"/>
      <w:lvlJc w:val="left"/>
      <w:pPr>
        <w:ind w:left="4320" w:hanging="360"/>
      </w:pPr>
    </w:lvl>
    <w:lvl w:ilvl="6" w:tplc="AA48F6F6">
      <w:start w:val="1"/>
      <w:numFmt w:val="bullet"/>
      <w:lvlText w:val="●"/>
      <w:lvlJc w:val="left"/>
      <w:pPr>
        <w:ind w:left="5040" w:hanging="360"/>
      </w:pPr>
    </w:lvl>
    <w:lvl w:ilvl="7" w:tplc="FF784628">
      <w:start w:val="1"/>
      <w:numFmt w:val="bullet"/>
      <w:lvlText w:val="●"/>
      <w:lvlJc w:val="left"/>
      <w:pPr>
        <w:ind w:left="5760" w:hanging="360"/>
      </w:pPr>
    </w:lvl>
    <w:lvl w:ilvl="8" w:tplc="F88A6002">
      <w:start w:val="1"/>
      <w:numFmt w:val="bullet"/>
      <w:lvlText w:val="●"/>
      <w:lvlJc w:val="left"/>
      <w:pPr>
        <w:ind w:left="6480" w:hanging="360"/>
      </w:pPr>
    </w:lvl>
  </w:abstractNum>
  <w:abstractNum w:abstractNumId="1" w15:restartNumberingAfterBreak="0">
    <w:nsid w:val="5C8E72B8"/>
    <w:multiLevelType w:val="hybridMultilevel"/>
    <w:tmpl w:val="81C2558A"/>
    <w:lvl w:ilvl="0" w:tplc="E340BB70">
      <w:start w:val="1"/>
      <w:numFmt w:val="bullet"/>
      <w:lvlText w:val="•"/>
      <w:lvlJc w:val="left"/>
      <w:pPr>
        <w:ind w:left="720" w:hanging="360"/>
      </w:pPr>
    </w:lvl>
    <w:lvl w:ilvl="1" w:tplc="2A00D13E">
      <w:start w:val="1"/>
      <w:numFmt w:val="bullet"/>
      <w:lvlText w:val="◦"/>
      <w:lvlJc w:val="left"/>
      <w:pPr>
        <w:ind w:left="1080" w:hanging="360"/>
      </w:pPr>
    </w:lvl>
    <w:lvl w:ilvl="2" w:tplc="C2E697E2">
      <w:numFmt w:val="decimal"/>
      <w:lvlText w:val=""/>
      <w:lvlJc w:val="left"/>
    </w:lvl>
    <w:lvl w:ilvl="3" w:tplc="56B82C44">
      <w:numFmt w:val="decimal"/>
      <w:lvlText w:val=""/>
      <w:lvlJc w:val="left"/>
    </w:lvl>
    <w:lvl w:ilvl="4" w:tplc="8FB48DC0">
      <w:numFmt w:val="decimal"/>
      <w:lvlText w:val=""/>
      <w:lvlJc w:val="left"/>
    </w:lvl>
    <w:lvl w:ilvl="5" w:tplc="7A462ADA">
      <w:numFmt w:val="decimal"/>
      <w:lvlText w:val=""/>
      <w:lvlJc w:val="left"/>
    </w:lvl>
    <w:lvl w:ilvl="6" w:tplc="3C887DA2">
      <w:numFmt w:val="decimal"/>
      <w:lvlText w:val=""/>
      <w:lvlJc w:val="left"/>
    </w:lvl>
    <w:lvl w:ilvl="7" w:tplc="10EE008E">
      <w:numFmt w:val="decimal"/>
      <w:lvlText w:val=""/>
      <w:lvlJc w:val="left"/>
    </w:lvl>
    <w:lvl w:ilvl="8" w:tplc="998AE444">
      <w:numFmt w:val="decimal"/>
      <w:lvlText w:val=""/>
      <w:lvlJc w:val="left"/>
    </w:lvl>
  </w:abstractNum>
  <w:num w:numId="1" w16cid:durableId="2098666675">
    <w:abstractNumId w:val="0"/>
    <w:lvlOverride w:ilvl="0">
      <w:startOverride w:val="1"/>
    </w:lvlOverride>
  </w:num>
  <w:num w:numId="2" w16cid:durableId="13816354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6B1"/>
    <w:rsid w:val="002336B1"/>
    <w:rsid w:val="00C97D99"/>
    <w:rsid w:val="00CA3925"/>
    <w:rsid w:val="00F35EAA"/>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5B9BEE3F"/>
  <w15:docId w15:val="{77370E5A-064B-9C40-91E1-8FBDCC1F9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400" w:after="160"/>
      <w:outlineLvl w:val="0"/>
    </w:pPr>
    <w:rPr>
      <w:b/>
      <w:bCs/>
      <w:color w:val="1B6B6B"/>
      <w:sz w:val="32"/>
      <w:szCs w:val="32"/>
    </w:rPr>
  </w:style>
  <w:style w:type="paragraph" w:styleId="Heading2">
    <w:name w:val="heading 2"/>
    <w:uiPriority w:val="9"/>
    <w:unhideWhenUsed/>
    <w:qFormat/>
    <w:pPr>
      <w:spacing w:before="320" w:after="120"/>
      <w:outlineLvl w:val="1"/>
    </w:pPr>
    <w:rPr>
      <w:b/>
      <w:bCs/>
      <w:color w:val="1B6B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2744</Words>
  <Characters>15645</Characters>
  <Application>Microsoft Office Word</Application>
  <DocSecurity>0</DocSecurity>
  <Lines>130</Lines>
  <Paragraphs>36</Paragraphs>
  <ScaleCrop>false</ScaleCrop>
  <Company/>
  <LinksUpToDate>false</LinksUpToDate>
  <CharactersWithSpaces>18353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2</cp:revision>
  <dcterms:created xsi:type="dcterms:W3CDTF">2026-03-03T07:30:00Z</dcterms:created>
  <dcterms:modified xsi:type="dcterms:W3CDTF">2026-03-03T07:49:00Z</dcterms:modified>
</cp:coreProperties>
</file>