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2E75B6"/>
          <w:sz w:val="20"/>
          <w:szCs w:val="20"/>
        </w:rPr>
        <w:t xml:space="preserve">ARUVI · PEDAGOGICAL PLATFORM</w:t>
      </w:r>
    </w:p>
    <w:p>
      <w:pPr>
        <w:spacing w:after="60" w:before="0"/>
        <w:jc w:val="center"/>
      </w:pPr>
      <w:r>
        <w:rPr>
          <w:rFonts w:ascii="Arial" w:cs="Arial" w:eastAsia="Arial" w:hAnsi="Arial"/>
          <w:b/>
          <w:bCs/>
          <w:i w:val="false"/>
          <w:iCs w:val="false"/>
          <w:color w:val="1F4E79"/>
          <w:sz w:val="32"/>
          <w:szCs w:val="32"/>
        </w:rPr>
        <w:t xml:space="preserve">Chapter Assessment Constitution — Science</w:t>
      </w:r>
    </w:p>
    <w:p>
      <w:pPr>
        <w:spacing w:after="60" w:before="0"/>
        <w:jc w:val="center"/>
      </w:pPr>
      <w:r>
        <w:rPr>
          <w:rFonts w:ascii="Arial" w:cs="Arial" w:eastAsia="Arial" w:hAnsi="Arial"/>
          <w:b w:val="false"/>
          <w:bCs w:val="false"/>
          <w:i/>
          <w:iCs/>
          <w:color w:val="666666"/>
          <w:sz w:val="18"/>
          <w:szCs w:val="18"/>
        </w:rPr>
        <w:t xml:space="preserve">Version 1.0</w:t>
      </w:r>
    </w:p>
    <w:p>
      <w:pPr>
        <w:spacing w:after="160" w:before="0"/>
        <w:jc w:val="center"/>
      </w:pPr>
      <w:r>
        <w:rPr>
          <w:rFonts w:ascii="Arial" w:cs="Arial" w:eastAsia="Arial" w:hAnsi="Arial"/>
          <w:b w:val="false"/>
          <w:bCs w:val="false"/>
          <w:i/>
          <w:iCs/>
          <w:color w:val="444444"/>
          <w:sz w:val="18"/>
          <w:szCs w:val="18"/>
        </w:rPr>
        <w:t xml:space="preserve">Ten rules governing AI decision-making in chapter assessment generation · Science subject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1F4E79"/>
                <w:sz w:val="20"/>
                <w:szCs w:val="20"/>
              </w:rPr>
              <w:t xml:space="preserve">WHAT THIS CONSTITUTION GOVERNS</w:t>
            </w:r>
          </w:p>
          <w:p>
            <w:pPr>
              <w:spacing w:after="60" w:before="40"/>
              <w:jc w:val="left"/>
            </w:pPr>
            <w:r>
              <w:rPr>
                <w:rFonts w:ascii="Arial" w:cs="Arial" w:eastAsia="Arial" w:hAnsi="Arial"/>
                <w:b w:val="false"/>
                <w:bCs w:val="false"/>
                <w:i w:val="false"/>
                <w:iCs w:val="false"/>
                <w:color w:val="000000"/>
                <w:sz w:val="20"/>
                <w:szCs w:val="20"/>
              </w:rPr>
              <w:t xml:space="preserve">These rules govern chapter-level formative assessment generation for Science. The assessment generator receives exactly two inputs: (1) the LO Handoff from the Lesson Plan Constitution and (2) the Chapter Summary. Progression stage position governs question type, count, and depth. The LO Handoff is the sole source of what is tested. The Chapter Summary grounds every question in textbook content.</w:t>
            </w:r>
          </w:p>
          <w:p>
            <w:pPr>
              <w:spacing w:after="60" w:before="0"/>
              <w:jc w:val="left"/>
            </w:pPr>
            <w:r>
              <w:rPr>
                <w:rFonts w:ascii="Arial" w:cs="Arial" w:eastAsia="Arial" w:hAnsi="Arial"/>
                <w:b w:val="false"/>
                <w:bCs w:val="false"/>
                <w:i/>
                <w:iCs/>
                <w:color w:val="000000"/>
                <w:sz w:val="20"/>
                <w:szCs w:val="20"/>
              </w:rPr>
              <w:t xml:space="preserve">The generator does not re-evaluate competencies, re-open chapter mapping, consult the Curricular Goals document, or retrieve any other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INPUTS</w:t>
            </w:r>
          </w:p>
        </w:tc>
        <w:tc>
          <w:tcPr>
            <w:tcW w:type="dxa" w:w="468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OUTPUTS</w:t>
            </w:r>
          </w:p>
        </w:tc>
      </w:tr>
      <w:tr>
        <w:tc>
          <w:tcPr>
            <w:tcW w:type="dxa" w:w="4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60"/>
              <w:jc w:val="left"/>
            </w:pPr>
            <w:r>
              <w:rPr>
                <w:rFonts w:ascii="Arial" w:cs="Arial" w:eastAsia="Arial" w:hAnsi="Arial"/>
                <w:b w:val="false"/>
                <w:bCs w:val="false"/>
                <w:i w:val="false"/>
                <w:iCs w:val="false"/>
                <w:color w:val="000000"/>
                <w:sz w:val="20"/>
                <w:szCs w:val="20"/>
              </w:rPr>
              <w:t xml:space="preserve">1. LO Handoff — for each progression stage: stage_position, total_stages, stage_name, period_numbers, activity_summary, implied_lo, C-code, CG, co_central</w:t>
            </w:r>
          </w:p>
          <w:p>
            <w:pPr>
              <w:spacing w:after="60" w:before="20"/>
              <w:jc w:val="left"/>
            </w:pPr>
            <w:r>
              <w:rPr>
                <w:rFonts w:ascii="Arial" w:cs="Arial" w:eastAsia="Arial" w:hAnsi="Arial"/>
                <w:b w:val="false"/>
                <w:bCs w:val="false"/>
                <w:i w:val="false"/>
                <w:iCs w:val="false"/>
                <w:color w:val="000000"/>
                <w:sz w:val="20"/>
                <w:szCs w:val="20"/>
              </w:rPr>
              <w:t xml:space="preserve">2. Chapter Summary — structured content summary mirroring textbook headings</w:t>
            </w:r>
          </w:p>
        </w:tc>
        <w:tc>
          <w:tcPr>
            <w:tcW w:type="dxa" w:w="4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20" w:before="60"/>
              <w:jc w:val="left"/>
            </w:pPr>
            <w:r>
              <w:rPr>
                <w:rFonts w:ascii="Arial" w:cs="Arial" w:eastAsia="Arial" w:hAnsi="Arial"/>
                <w:b w:val="false"/>
                <w:bCs w:val="false"/>
                <w:i w:val="false"/>
                <w:iCs w:val="false"/>
                <w:color w:val="000000"/>
                <w:sz w:val="20"/>
                <w:szCs w:val="20"/>
              </w:rPr>
              <w:t xml:space="preserve">1. Stage-position-structured chapter assessment</w:t>
            </w:r>
          </w:p>
          <w:p>
            <w:pPr>
              <w:spacing w:after="20" w:before="20"/>
              <w:jc w:val="left"/>
            </w:pPr>
            <w:r>
              <w:rPr>
                <w:rFonts w:ascii="Arial" w:cs="Arial" w:eastAsia="Arial" w:hAnsi="Arial"/>
                <w:b w:val="false"/>
                <w:bCs w:val="false"/>
                <w:i w:val="false"/>
                <w:iCs w:val="false"/>
                <w:color w:val="000000"/>
                <w:sz w:val="20"/>
                <w:szCs w:val="20"/>
              </w:rPr>
              <w:t xml:space="preserve">2. Diagnostically intentional MCQ distractors</w:t>
            </w:r>
          </w:p>
          <w:p>
            <w:pPr>
              <w:spacing w:after="60" w:before="20"/>
              <w:jc w:val="left"/>
            </w:pPr>
            <w:r>
              <w:rPr>
                <w:rFonts w:ascii="Arial" w:cs="Arial" w:eastAsia="Arial" w:hAnsi="Arial"/>
                <w:b w:val="false"/>
                <w:bCs w:val="false"/>
                <w:i w:val="false"/>
                <w:iCs w:val="false"/>
                <w:color w:val="000000"/>
                <w:sz w:val="20"/>
                <w:szCs w:val="20"/>
              </w:rPr>
              <w:t xml:space="preserve">3. Guide block for every question (structured JSON, visible on demand)</w:t>
            </w:r>
          </w:p>
        </w:tc>
      </w:tr>
      <w:tr>
        <w:tc>
          <w:tcPr>
            <w:tcW w:type="dxa" w:w="9360"/>
            <w:gridSpan w:val="2"/>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iCs/>
                <w:color w:val="CC0000"/>
                <w:sz w:val="18"/>
                <w:szCs w:val="18"/>
              </w:rPr>
              <w:t xml:space="preserve">PROHIBITION: The system MUST NOT retrieve the Curricular Goals document, Chapter Mapping JSON, Pedagogy document, or any Learning Outcome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1 · Governing Purpose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generate assessment tasks that test whether the student engaged with the designed activities in the spirit of developing the chapter's central cognitive operation. Every question must be traceable to the implied LO of the progression stage it tests.</w:t>
            </w:r>
          </w:p>
          <w:p>
            <w:pPr>
              <w:spacing w:after="40" w:before="40"/>
              <w:jc w:val="left"/>
            </w:pPr>
            <w:r>
              <w:rPr>
                <w:rFonts w:ascii="Arial" w:cs="Arial" w:eastAsia="Arial" w:hAnsi="Arial"/>
                <w:b w:val="false"/>
                <w:bCs w:val="false"/>
                <w:i w:val="false"/>
                <w:iCs w:val="false"/>
                <w:color w:val="000000"/>
                <w:sz w:val="20"/>
                <w:szCs w:val="20"/>
              </w:rPr>
              <w:t xml:space="preserve">The demonstration required must be observable — a response, a product, a classification, a justification.</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generate questions asking whether a student understood, appreciated, or felt something. Questions must require demonstration, not introspective self-report.</w:t>
            </w:r>
          </w:p>
          <w:p>
            <w:pPr>
              <w:spacing w:after="40" w:before="40"/>
              <w:jc w:val="left"/>
            </w:pPr>
            <w:r>
              <w:rPr>
                <w:rFonts w:ascii="Arial" w:cs="Arial" w:eastAsia="Arial" w:hAnsi="Arial"/>
                <w:b w:val="false"/>
                <w:bCs w:val="false"/>
                <w:i w:val="false"/>
                <w:iCs w:val="false"/>
                <w:color w:val="000000"/>
                <w:sz w:val="20"/>
                <w:szCs w:val="20"/>
              </w:rPr>
              <w:t xml:space="preserve">The system MUST NOT test content absorption independently of the chapter's progression targets.</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Recall–Understanding–Application–Analysis–Evaluation spectrum applies across all question types. Final Stage questions sit toward the Analysis–Evaluation end; First Stage questions sit toward the Recall–Understanding end.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2 · Inputs</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use exactly the two inputs listed above. The LO Handoff determines what is tested and at what depth. The Chapter Summary grounds every question and distractor in actual textbook content. Both are required; neither alone is sufficient.</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retrieve or reference any document outside the two listed inputs.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3 · Executability Boundary</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Every assessment task MUST satisfy all of the following: completable within the stage's allocated period count for this chapter; involves no field visits, external speakers, or community involvement.</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generate tasks requiring multi-session projects, field visits, artefact creation requiring craft materials, or coordination with parties outside the classroom.</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Science activities in the textbook often require physical materials and teacher preparation. The executability boundary governs time (within stage period allocation) and coordination (classroom-only) — not the nature of the student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4 · Stage-Position Architecture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The system MUST structure the assessment using progression stage position as the sole architectural governor. Stage position is a relational test — never a fixed integer. Assessment length is uncapped.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700"/>
              <w:gridCol w:w="2960"/>
            </w:tblGrid>
            <w:tr>
              <w:tc>
                <w:tcPr>
                  <w:tcW w:type="dxa" w:w="16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Stage Position</w:t>
                  </w:r>
                </w:p>
              </w:tc>
              <w:tc>
                <w:tcPr>
                  <w:tcW w:type="dxa" w:w="20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Question Types</w:t>
                  </w:r>
                </w:p>
              </w:tc>
              <w:tc>
                <w:tcPr>
                  <w:tcW w:type="dxa" w:w="17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Minimum</w:t>
                  </w:r>
                </w:p>
              </w:tc>
              <w:tc>
                <w:tcPr>
                  <w:tcW w:type="dxa" w:w="296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Guide Block</w:t>
                  </w:r>
                </w:p>
              </w:tc>
            </w:tr>
            <w:tr>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Final Stage</w:t>
                  </w:r>
                  <w:r>
                    <w:rPr>
                      <w:rFonts w:ascii="Arial" w:cs="Arial" w:eastAsia="Arial" w:hAnsi="Arial"/>
                      <w:b w:val="false"/>
                      <w:bCs w:val="false"/>
                      <w:i/>
                      <w:iCs/>
                      <w:color w:val="000000"/>
                      <w:sz w:val="17"/>
                      <w:szCs w:val="17"/>
                    </w:rPr>
                    <w:t xml:space="preserve"> (stage_position == total_stages)</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MCQ + ECR + Open Task</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2 MCQs + 1 ECR + 1 Open Task</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Full — see Rule 9</w:t>
                  </w:r>
                </w:p>
              </w:tc>
            </w:tr>
            <w:tr>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Middle Stages</w:t>
                  </w:r>
                  <w:r>
                    <w:rPr>
                      <w:rFonts w:ascii="Arial" w:cs="Arial" w:eastAsia="Arial" w:hAnsi="Arial"/>
                      <w:b w:val="false"/>
                      <w:bCs w:val="false"/>
                      <w:i/>
                      <w:iCs/>
                      <w:color w:val="000000"/>
                      <w:sz w:val="17"/>
                      <w:szCs w:val="17"/>
                    </w:rPr>
                    <w:t xml:space="preserve"> (stage_position &gt; 1 AND &lt; total_stages)</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MCQ + SCR</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2 MCQs + 1 SCR</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Standard — see Rule 9</w:t>
                  </w:r>
                </w:p>
              </w:tc>
            </w:tr>
            <w:tr>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First Stage</w:t>
                  </w:r>
                  <w:r>
                    <w:rPr>
                      <w:rFonts w:ascii="Arial" w:cs="Arial" w:eastAsia="Arial" w:hAnsi="Arial"/>
                      <w:b w:val="false"/>
                      <w:bCs w:val="false"/>
                      <w:i/>
                      <w:iCs/>
                      <w:color w:val="000000"/>
                      <w:sz w:val="17"/>
                      <w:szCs w:val="17"/>
                    </w:rPr>
                    <w:t xml:space="preserve"> (stage_position == 1)</w:t>
                  </w:r>
                </w:p>
              </w:tc>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MCQ only</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2 MCQs</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Minimal — see Rule 9</w:t>
                  </w:r>
                </w:p>
              </w:tc>
            </w:tr>
          </w:tbl>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evaluate stage position as a fixed integer. The test is always relational: stage_position == total_stages for Final Stage; stage_position == 1 for First Stage.</w:t>
            </w:r>
          </w:p>
          <w:p>
            <w:pPr>
              <w:spacing w:after="40" w:before="20"/>
              <w:jc w:val="left"/>
            </w:pPr>
            <w:r>
              <w:rPr>
                <w:rFonts w:ascii="Arial" w:cs="Arial" w:eastAsia="Arial" w:hAnsi="Arial"/>
                <w:b w:val="false"/>
                <w:bCs w:val="false"/>
                <w:i w:val="false"/>
                <w:iCs w:val="false"/>
                <w:color w:val="000000"/>
                <w:sz w:val="20"/>
                <w:szCs w:val="20"/>
              </w:rPr>
              <w:t xml:space="preserve">The system MUST NOT derive question format from the implied LO type. Format is prescribed by stage position only.</w:t>
            </w:r>
          </w:p>
          <w:p>
            <w:pPr>
              <w:spacing w:after="40" w:before="20"/>
              <w:jc w:val="left"/>
            </w:pPr>
            <w:r>
              <w:rPr>
                <w:rFonts w:ascii="Arial" w:cs="Arial" w:eastAsia="Arial" w:hAnsi="Arial"/>
                <w:b w:val="false"/>
                <w:bCs w:val="false"/>
                <w:i w:val="false"/>
                <w:iCs w:val="false"/>
                <w:color w:val="000000"/>
                <w:sz w:val="20"/>
                <w:szCs w:val="20"/>
              </w:rPr>
              <w:t xml:space="preserve">Stage position numbers and stage labels (Final / Middle / First) MUST NOT appear in any user-facing assessment output. They are internal to the generation process and the guide block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5 · Open Task Assignment</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generate exactly one open task per assessment, always assigned to the Final Stage.</w:t>
            </w:r>
          </w:p>
          <w:p>
            <w:pPr>
              <w:spacing w:after="40" w:before="40"/>
              <w:jc w:val="left"/>
            </w:pPr>
            <w:r>
              <w:rPr>
                <w:rFonts w:ascii="Arial" w:cs="Arial" w:eastAsia="Arial" w:hAnsi="Arial"/>
                <w:b w:val="false"/>
                <w:bCs w:val="false"/>
                <w:i w:val="false"/>
                <w:iCs w:val="false"/>
                <w:color w:val="000000"/>
                <w:sz w:val="20"/>
                <w:szCs w:val="20"/>
              </w:rPr>
              <w:t xml:space="preserve">When co_central is true, the Final Stage has a single convergent implied LO integrating both central operations. The open task must require the student to reason across both operations simultaneously.</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assign the open task to any stage other than the Final Stage.</w:t>
            </w:r>
          </w:p>
          <w:p>
            <w:pPr>
              <w:spacing w:after="40" w:before="40"/>
              <w:jc w:val="left"/>
            </w:pPr>
            <w:r>
              <w:rPr>
                <w:rFonts w:ascii="Arial" w:cs="Arial" w:eastAsia="Arial" w:hAnsi="Arial"/>
                <w:b w:val="false"/>
                <w:bCs w:val="false"/>
                <w:i w:val="false"/>
                <w:iCs w:val="false"/>
                <w:color w:val="000000"/>
                <w:sz w:val="20"/>
                <w:szCs w:val="20"/>
              </w:rPr>
              <w:t xml:space="preserve">The system MUST NOT generate more than one open task per assessment.</w:t>
            </w:r>
          </w:p>
          <w:p>
            <w:pPr>
              <w:spacing w:after="40" w:before="40"/>
              <w:jc w:val="left"/>
            </w:pPr>
            <w:r>
              <w:rPr>
                <w:rFonts w:ascii="Arial" w:cs="Arial" w:eastAsia="Arial" w:hAnsi="Arial"/>
                <w:b w:val="false"/>
                <w:bCs w:val="false"/>
                <w:i w:val="false"/>
                <w:iCs w:val="false"/>
                <w:color w:val="000000"/>
                <w:sz w:val="20"/>
                <w:szCs w:val="20"/>
              </w:rPr>
              <w:t xml:space="preserve">When co_central is true, the system MUST NOT split the open task into two separate tasks.</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open task tests the cognitive operation the chapter's entire progression was building toward. It is placed last in the assessment output, after all MCQ and SCR/ECR items for preceding stages.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6 · Recall–Understanding–Application–Analysis–Evaluation Spectrum</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position every generated question on the Recall–Understanding–Application–Analysis–Evaluation spectrum and state that position in the guide block. Stage-level calibration is inherited from the LO Handoff — the Assessment Constitution does not re-adjudicate it.</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independently retrieve stage-level learning outcome documents to recalibrate question demand.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7 · MCQ Distractor Design</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Every MCQ MUST have exactly three diagnostically intentional distractors (four options total). Each distractor must represent one specific, nameable engagement failure: a misconception about the chapter section; a confusion between two concepts in the same chapter; recall of a related but incorrect detail from the same chapter section.</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use true/false format. The system MUST NOT generate distractors that are implausible, arbitrary, or sourced from outside the chapter.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8 · Open Task Menu — Science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select the open task format exclusively from the Science menu below. The selection must be justified in the guide block.</w:t>
            </w:r>
          </w:p>
          <w:p>
            <w:pPr>
              <w:spacing w:after="40" w:before="40"/>
              <w:jc w:val="left"/>
            </w:pPr>
            <w:r>
              <w:rPr>
                <w:rFonts w:ascii="Arial" w:cs="Arial" w:eastAsia="Arial" w:hAnsi="Arial"/>
                <w:b w:val="false"/>
                <w:bCs w:val="false"/>
                <w:i w:val="false"/>
                <w:iCs w:val="false"/>
                <w:color w:val="000000"/>
                <w:sz w:val="20"/>
                <w:szCs w:val="20"/>
              </w:rPr>
              <w:t xml:space="preserve">Valid formats (completable within stage period allocation): Data interpretation task (provided table or graph) · Classification or sorting task with justification · Procedure evaluation task (identify flaw, suggest improvement) · Diagram completion and annotation · Predict-and-explain task</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select a format from outside the Science menu. The system MUST NOT select a format for variety alone — selection must be the most natural demonstration vehicle for the Final Stage implied LO.</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guide block must note that the teacher may substitute any other format from the same Science menu. The menu governs the AI — not the teacher.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9 · Guide Layer</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The system MUST produce a guide block for every generated question. The guide is a structured JSON object — not prose — and is the primary professional support layer for anyone using the assessment, visible on demand. Guide structure is governed by question type only.</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400"/>
              <w:gridCol w:w="6860"/>
            </w:tblGrid>
            <w:tr>
              <w:tc>
                <w:tcPr>
                  <w:tcW w:type="dxa" w:w="14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Question Type</w:t>
                  </w:r>
                </w:p>
              </w:tc>
              <w:tc>
                <w:tcPr>
                  <w:tcW w:type="dxa" w:w="686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Guide Block Contents</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MCQ</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what_each_option_reveals — one entry per non-correct option label, stating the specific engagement failure that choosing that option indicates</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SCR</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expected_elements — array of strings; each element is a distinct component a complete response should contain</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ECR</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look_for — array of strings; each describes a qualitative marker that distinguishes a strong response</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Open Task</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what_this_demonstrates — what cognitive operation a complete response evidences</w:t>
                  </w:r>
                </w:p>
                <w:p>
                  <w:pPr>
                    <w:spacing w:after="60" w:before="60"/>
                    <w:jc w:val="left"/>
                  </w:pPr>
                  <w:r>
                    <w:rPr>
                      <w:rFonts w:ascii="Arial" w:cs="Arial" w:eastAsia="Arial" w:hAnsi="Arial"/>
                      <w:b w:val="false"/>
                      <w:bCs w:val="false"/>
                      <w:i w:val="false"/>
                      <w:iCs w:val="false"/>
                      <w:color w:val="000000"/>
                      <w:sz w:val="20"/>
                      <w:szCs w:val="20"/>
                    </w:rPr>
                    <w:t xml:space="preserve">reading_the_scaffold — how to interpret the task structure as a teacher</w:t>
                  </w:r>
                </w:p>
                <w:p>
                  <w:pPr>
                    <w:spacing w:after="60" w:before="60"/>
                    <w:jc w:val="left"/>
                  </w:pPr>
                  <w:r>
                    <w:rPr>
                      <w:rFonts w:ascii="Arial" w:cs="Arial" w:eastAsia="Arial" w:hAnsi="Arial"/>
                      <w:b w:val="false"/>
                      <w:bCs w:val="false"/>
                      <w:i w:val="false"/>
                      <w:iCs w:val="false"/>
                      <w:color w:val="000000"/>
                      <w:sz w:val="20"/>
                      <w:szCs w:val="20"/>
                    </w:rPr>
                    <w:t xml:space="preserve">strong_vs_weak_markers — observable distinctions between strong and weak responses</w:t>
                  </w:r>
                </w:p>
                <w:p>
                  <w:pPr>
                    <w:spacing w:after="60" w:before="60"/>
                    <w:jc w:val="left"/>
                  </w:pPr>
                  <w:r>
                    <w:rPr>
                      <w:rFonts w:ascii="Arial" w:cs="Arial" w:eastAsia="Arial" w:hAnsi="Arial"/>
                      <w:b w:val="false"/>
                      <w:bCs w:val="false"/>
                      <w:i w:val="false"/>
                      <w:iCs w:val="false"/>
                      <w:color w:val="000000"/>
                      <w:sz w:val="20"/>
                      <w:szCs w:val="20"/>
                    </w:rPr>
                    <w:t xml:space="preserve">inclusivity — one to two sentences describing alternative pathways through which different students can demonstrate the same cognitive outcome</w:t>
                  </w:r>
                </w:p>
              </w:tc>
            </w:tr>
          </w:tbl>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omit the guide block for any question.</w:t>
            </w:r>
          </w:p>
          <w:p>
            <w:pPr>
              <w:spacing w:after="40" w:before="20"/>
              <w:jc w:val="left"/>
            </w:pPr>
            <w:r>
              <w:rPr>
                <w:rFonts w:ascii="Arial" w:cs="Arial" w:eastAsia="Arial" w:hAnsi="Arial"/>
                <w:b w:val="false"/>
                <w:bCs w:val="false"/>
                <w:i w:val="false"/>
                <w:iCs w:val="false"/>
                <w:color w:val="000000"/>
                <w:sz w:val="20"/>
                <w:szCs w:val="20"/>
              </w:rPr>
              <w:t xml:space="preserve">The system MUST NOT produce the guide block as prose. It must be a structured JSON object with the fields specified above.</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guide block is the mechanism that turns assessment output into professional support. what_each_option_reveals transforms a wrong answer into a diagnostic signal. strong_vs_weak_markers on the Open Task tells the teacher what to look for without prescribing a single correct answer.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10 · Scope Boundary</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generate chapter-scoped formative assessment only — one component of a teacher's toolkit for a single chapter.</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generate: summative assessments or Board examination preparation; Holistic Progress Card inputs; multi-session projects or portfolios; individual student tracking across chapters.</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Aruvi generates the floor every teacher can reach — reliably, within the chapter's period allocation, with full competency documentation. Schools with resources build above it.</w:t>
            </w:r>
          </w:p>
        </w:tc>
      </w:tr>
    </w:tbl>
    <w:p>
      <w:pPr>
        <w:spacing w:after="80" w:before="80"/>
      </w:pPr>
      <w:r>
        <w:t xml:space="preserve"/>
      </w:r>
    </w:p>
    <w:p>
      <w:pPr>
        <w:pStyle w:val="Heading1"/>
        <w:spacing w:after="100" w:before="200"/>
      </w:pPr>
      <w:r>
        <w:rPr>
          <w:rFonts w:ascii="Arial" w:cs="Arial" w:eastAsia="Arial" w:hAnsi="Arial"/>
          <w:b/>
          <w:bCs/>
          <w:i w:val="false"/>
          <w:iCs w:val="false"/>
          <w:color w:val="1F4E79"/>
          <w:sz w:val="26"/>
          <w:szCs w:val="26"/>
        </w:rPr>
        <w:t xml:space="preserve">Rule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Rule</w:t>
            </w:r>
          </w:p>
        </w:tc>
        <w:tc>
          <w:tcPr>
            <w:tcW w:type="dxa" w:w="22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Title</w:t>
            </w:r>
          </w:p>
        </w:tc>
        <w:tc>
          <w:tcPr>
            <w:tcW w:type="dxa" w:w="64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Core Mechanism</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1</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Governing Purpose</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Every question tests the implied LO of its progression stage. Observable demonstration only.</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2</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Inputs</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LO Handoff + Chapter Summary only. All other documents prohibited.</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3</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Executability Boundary</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Within stage period allocation. No field visits, external speakers, or community involvement.</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4</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Stage-Position Architecture</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Relational test (first / middle / final) prescribes question type and count. Stage numbers and labels internal only — never user-facing.</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5</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Open Task Assignment</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One open task per assessment, always at Final Stage. co_central → single integrated task.</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6</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Recall–Understanding–Application–Analysis–Evaluation Spectrum</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Every question positioned on spectrum. Calibration inherited from LO Handoff.</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7</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MCQ Distractor Design</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Three diagnostically intentional distractors. Each names a specific engagement failure.</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8</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Open Task Menu</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Format from Science menu only. Most natural vehicle for Final Stage implied LO.</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9</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Guide Layer</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Structured JSON per question. Depth by question type: MCQ → what_each_option_reveals; SCR → expected_elements; ECR → look_for; Open Task → what_this_demonstrates + reading_the_scaffold + strong_vs_weak_markers + inclusivity.</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10</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Scope Boundary</w:t>
            </w:r>
          </w:p>
        </w:tc>
        <w:tc>
          <w:tcPr>
            <w:tcW w:type="dxa" w:w="64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Chapter-scoped formative only. Summative, HPC, multi-session projects, student tracking out of scope.</w:t>
            </w:r>
          </w:p>
        </w:tc>
      </w:tr>
    </w:tbl>
    <w:p>
      <w:pPr>
        <w:spacing w:after="80" w:before="80"/>
      </w:pPr>
      <w:r>
        <w:t xml:space="preserve"/>
      </w:r>
    </w:p>
    <w:p>
      <w:pPr>
        <w:spacing w:after="0" w:before="120"/>
        <w:jc w:val="center"/>
      </w:pPr>
      <w:r>
        <w:rPr>
          <w:rFonts w:ascii="Arial" w:cs="Arial" w:eastAsia="Arial" w:hAnsi="Arial"/>
          <w:b w:val="false"/>
          <w:bCs w:val="false"/>
          <w:i/>
          <w:iCs/>
          <w:color w:val="666666"/>
          <w:sz w:val="18"/>
          <w:szCs w:val="18"/>
        </w:rPr>
        <w:t xml:space="preserve">Aruvi · Chapter Assessment Constitution · Science · Version 1.0 · Ten rules · LO Handoff + Chapter Summary as inputs · Guide block mandatory for every question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0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2026-04-04T07:03:12.185Z</dcterms:created>
  <dcterms:modified xsi:type="dcterms:W3CDTF">2026-04-04T07:03:12.186Z</dcterms:modified>
</cp:coreProperties>
</file>

<file path=docProps/custom.xml><?xml version="1.0" encoding="utf-8"?>
<Properties xmlns="http://schemas.openxmlformats.org/officeDocument/2006/custom-properties" xmlns:vt="http://schemas.openxmlformats.org/officeDocument/2006/docPropsVTypes"/>
</file>