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i w:val="false"/>
          <w:iCs w:val="false"/>
          <w:color w:val="2E75B6"/>
          <w:sz w:val="20"/>
          <w:szCs w:val="20"/>
        </w:rPr>
        <w:t xml:space="preserve">ARUVI · PEDAGOGICAL PLATFORM</w:t>
      </w:r>
    </w:p>
    <w:p>
      <w:pPr>
        <w:spacing w:after="60" w:before="0"/>
        <w:jc w:val="center"/>
      </w:pPr>
      <w:r>
        <w:rPr>
          <w:rFonts w:ascii="Arial" w:cs="Arial" w:eastAsia="Arial" w:hAnsi="Arial"/>
          <w:b/>
          <w:bCs/>
          <w:i w:val="false"/>
          <w:iCs w:val="false"/>
          <w:color w:val="1F4E79"/>
          <w:sz w:val="28"/>
          <w:szCs w:val="28"/>
        </w:rPr>
        <w:t xml:space="preserve">Chapter Assessment Constitution — Social Sciences</w:t>
      </w:r>
    </w:p>
    <w:p>
      <w:pPr>
        <w:spacing w:after="60" w:before="0"/>
        <w:jc w:val="center"/>
      </w:pPr>
      <w:r>
        <w:rPr>
          <w:rFonts w:ascii="Arial" w:cs="Arial" w:eastAsia="Arial" w:hAnsi="Arial"/>
          <w:b w:val="false"/>
          <w:bCs w:val="false"/>
          <w:i/>
          <w:iCs/>
          <w:color w:val="666666"/>
          <w:sz w:val="18"/>
          <w:szCs w:val="18"/>
        </w:rPr>
        <w:t xml:space="preserve">Version 1.3</w:t>
      </w:r>
    </w:p>
    <w:p>
      <w:pPr>
        <w:spacing w:after="160" w:before="0"/>
        <w:jc w:val="center"/>
      </w:pPr>
      <w:r>
        <w:rPr>
          <w:rFonts w:ascii="Arial" w:cs="Arial" w:eastAsia="Arial" w:hAnsi="Arial"/>
          <w:b w:val="false"/>
          <w:bCs w:val="false"/>
          <w:i/>
          <w:iCs/>
          <w:color w:val="444444"/>
          <w:sz w:val="18"/>
          <w:szCs w:val="18"/>
        </w:rPr>
        <w:t xml:space="preserve">Ten rules governing AI decision-making in chapter assessment generation · Social Sciences subject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1F4E79"/>
                <w:sz w:val="20"/>
                <w:szCs w:val="20"/>
              </w:rPr>
              <w:t xml:space="preserve">WHAT THIS CONSTITUTION GOVERNS</w:t>
            </w:r>
          </w:p>
          <w:p>
            <w:pPr>
              <w:spacing w:after="60" w:before="40"/>
              <w:jc w:val="left"/>
            </w:pPr>
            <w:r>
              <w:rPr>
                <w:rFonts w:ascii="Arial" w:cs="Arial" w:eastAsia="Arial" w:hAnsi="Arial"/>
                <w:b w:val="false"/>
                <w:bCs w:val="false"/>
                <w:i w:val="false"/>
                <w:iCs w:val="false"/>
                <w:color w:val="000000"/>
                <w:sz w:val="20"/>
                <w:szCs w:val="20"/>
              </w:rPr>
              <w:t xml:space="preserve">These rules govern chapter-level formative assessment generation for Social Sciences. The assessment generator receives exactly two inputs: (1) the LO Handoff from the Lesson Plan Constitution and (2) the Chapter Summary. Competency weight governs question type, count, and depth. The LO Handoff is the sole source of what is tested. The Chapter Summary grounds every question in textbook content.</w:t>
            </w:r>
          </w:p>
          <w:p>
            <w:pPr>
              <w:spacing w:after="60" w:before="0"/>
              <w:jc w:val="left"/>
            </w:pPr>
            <w:r>
              <w:rPr>
                <w:rFonts w:ascii="Arial" w:cs="Arial" w:eastAsia="Arial" w:hAnsi="Arial"/>
                <w:b w:val="false"/>
                <w:bCs w:val="false"/>
                <w:i/>
                <w:iCs/>
                <w:color w:val="000000"/>
                <w:sz w:val="20"/>
                <w:szCs w:val="20"/>
              </w:rPr>
              <w:t xml:space="preserve">The generator does not re-evaluate competencies, re-open chapter mapping, consult the Curricular Goals document, or retrieve any other document.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0"/>
                <w:szCs w:val="20"/>
              </w:rPr>
              <w:t xml:space="preserve">INPUTS</w:t>
            </w:r>
          </w:p>
        </w:tc>
        <w:tc>
          <w:tcPr>
            <w:tcW w:type="dxa" w:w="468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0"/>
                <w:szCs w:val="20"/>
              </w:rPr>
              <w:t xml:space="preserve">OUTPUTS</w:t>
            </w:r>
          </w:p>
        </w:tc>
      </w:tr>
      <w:tr>
        <w:tc>
          <w:tcPr>
            <w:tcW w:type="dxa" w:w="468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60"/>
              <w:jc w:val="left"/>
            </w:pPr>
            <w:r>
              <w:rPr>
                <w:rFonts w:ascii="Arial" w:cs="Arial" w:eastAsia="Arial" w:hAnsi="Arial"/>
                <w:b w:val="false"/>
                <w:bCs w:val="false"/>
                <w:i w:val="false"/>
                <w:iCs w:val="false"/>
                <w:color w:val="000000"/>
                <w:sz w:val="20"/>
                <w:szCs w:val="20"/>
              </w:rPr>
              <w:t xml:space="preserve">1. LO Handoff — for each period: period number, period duration in minutes, chapter section, activity summary, implied LO, C-code, CG, weight</w:t>
            </w:r>
          </w:p>
          <w:p>
            <w:pPr>
              <w:spacing w:after="60" w:before="20"/>
              <w:jc w:val="left"/>
            </w:pPr>
            <w:r>
              <w:rPr>
                <w:rFonts w:ascii="Arial" w:cs="Arial" w:eastAsia="Arial" w:hAnsi="Arial"/>
                <w:b w:val="false"/>
                <w:bCs w:val="false"/>
                <w:i w:val="false"/>
                <w:iCs w:val="false"/>
                <w:color w:val="000000"/>
                <w:sz w:val="20"/>
                <w:szCs w:val="20"/>
              </w:rPr>
              <w:t xml:space="preserve">2. Chapter Summary — structured content summary mirroring textbook headings</w:t>
            </w:r>
          </w:p>
        </w:tc>
        <w:tc>
          <w:tcPr>
            <w:tcW w:type="dxa" w:w="468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20" w:before="60"/>
              <w:jc w:val="left"/>
            </w:pPr>
            <w:r>
              <w:rPr>
                <w:rFonts w:ascii="Arial" w:cs="Arial" w:eastAsia="Arial" w:hAnsi="Arial"/>
                <w:b w:val="false"/>
                <w:bCs w:val="false"/>
                <w:i w:val="false"/>
                <w:iCs w:val="false"/>
                <w:color w:val="000000"/>
                <w:sz w:val="20"/>
                <w:szCs w:val="20"/>
              </w:rPr>
              <w:t xml:space="preserve">1. Weight-structured chapter assessment</w:t>
            </w:r>
          </w:p>
          <w:p>
            <w:pPr>
              <w:spacing w:after="20" w:before="20"/>
              <w:jc w:val="left"/>
            </w:pPr>
            <w:r>
              <w:rPr>
                <w:rFonts w:ascii="Arial" w:cs="Arial" w:eastAsia="Arial" w:hAnsi="Arial"/>
                <w:b w:val="false"/>
                <w:bCs w:val="false"/>
                <w:i w:val="false"/>
                <w:iCs w:val="false"/>
                <w:color w:val="000000"/>
                <w:sz w:val="20"/>
                <w:szCs w:val="20"/>
              </w:rPr>
              <w:t xml:space="preserve">2. Diagnostically intentional MCQ distractors</w:t>
            </w:r>
          </w:p>
          <w:p>
            <w:pPr>
              <w:spacing w:after="60" w:before="20"/>
              <w:jc w:val="left"/>
            </w:pPr>
            <w:r>
              <w:rPr>
                <w:rFonts w:ascii="Arial" w:cs="Arial" w:eastAsia="Arial" w:hAnsi="Arial"/>
                <w:b w:val="false"/>
                <w:bCs w:val="false"/>
                <w:i w:val="false"/>
                <w:iCs w:val="false"/>
                <w:color w:val="000000"/>
                <w:sz w:val="20"/>
                <w:szCs w:val="20"/>
              </w:rPr>
              <w:t xml:space="preserve">3. Guide block for every question (structured JSON, visible on demand)</w:t>
            </w:r>
          </w:p>
        </w:tc>
      </w:tr>
      <w:tr>
        <w:tc>
          <w:tcPr>
            <w:tcW w:type="dxa" w:w="9360"/>
            <w:gridSpan w:val="2"/>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iCs/>
                <w:color w:val="CC0000"/>
                <w:sz w:val="18"/>
                <w:szCs w:val="18"/>
              </w:rPr>
              <w:t xml:space="preserve">PROHIBITION: The system MUST NOT retrieve the Curricular Goals document, Chapter Mapping JSON, Pedagogy document, or any Learning Outcome document.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936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2"/>
                <w:szCs w:val="22"/>
              </w:rPr>
              <w:t xml:space="preserve">Rule 1 · Governing Purpose</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2E75B6"/>
                <w:sz w:val="18"/>
                <w:szCs w:val="18"/>
              </w:rPr>
              <w:t xml:space="preserve">MANDATE</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generate assessment tasks that test whether the student engaged with the designed activities in the spirit of developing the chapter's mapped competencies. Every question must be traceable to at least one implied LO from the LO Handoff. A question may test a single implied LO, a group of related LOs, or synthesise across implied LOs from multiple activities — provided the implied LO or LOs being tested are explicitly named in the guide block by period number.</w:t>
            </w:r>
          </w:p>
          <w:p>
            <w:pPr>
              <w:spacing w:after="40" w:before="40"/>
              <w:jc w:val="left"/>
            </w:pPr>
            <w:r>
              <w:rPr>
                <w:rFonts w:ascii="Arial" w:cs="Arial" w:eastAsia="Arial" w:hAnsi="Arial"/>
                <w:b w:val="false"/>
                <w:bCs w:val="false"/>
                <w:i w:val="false"/>
                <w:iCs w:val="false"/>
                <w:color w:val="000000"/>
                <w:sz w:val="20"/>
                <w:szCs w:val="20"/>
              </w:rPr>
              <w:t xml:space="preserve">The demonstration required must be observable — a response, a product, a classification, a justification — that a teacher can see, read, or collect in the classroom.</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CC0000"/>
                <w:sz w:val="18"/>
                <w:szCs w:val="18"/>
              </w:rPr>
              <w:t xml:space="preserve">PROHIBITION</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NOT generate questions asking whether a student understood, appreciated, or felt something. Questions must require demonstration, not introspective self-report.</w:t>
            </w:r>
          </w:p>
          <w:p>
            <w:pPr>
              <w:spacing w:after="40" w:before="40"/>
              <w:jc w:val="left"/>
            </w:pPr>
            <w:r>
              <w:rPr>
                <w:rFonts w:ascii="Arial" w:cs="Arial" w:eastAsia="Arial" w:hAnsi="Arial"/>
                <w:b w:val="false"/>
                <w:bCs w:val="false"/>
                <w:i w:val="false"/>
                <w:iCs w:val="false"/>
                <w:color w:val="000000"/>
                <w:sz w:val="20"/>
                <w:szCs w:val="20"/>
              </w:rPr>
              <w:t xml:space="preserve">The system MUST NOT test content absorption independently of the chapter's competency targets. Every question must serve a mapped competency.</w:t>
            </w:r>
          </w:p>
          <w:p>
            <w:pPr>
              <w:spacing w:after="40" w:before="40"/>
              <w:jc w:val="left"/>
            </w:pPr>
            <w:r>
              <w:rPr>
                <w:rFonts w:ascii="Arial" w:cs="Arial" w:eastAsia="Arial" w:hAnsi="Arial"/>
                <w:b w:val="false"/>
                <w:bCs w:val="false"/>
                <w:i w:val="false"/>
                <w:iCs w:val="false"/>
                <w:color w:val="000000"/>
                <w:sz w:val="20"/>
                <w:szCs w:val="20"/>
              </w:rPr>
              <w:t xml:space="preserve">The system MUST NOT generate tasks that assess teacher performance, lesson plan validity, or mapping accuracy.</w:t>
            </w:r>
          </w:p>
        </w:tc>
      </w:tr>
      <w:tr>
        <w:tc>
          <w:tcPr>
            <w:tcW w:type="dxa" w:w="110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BF8F00"/>
                <w:sz w:val="18"/>
                <w:szCs w:val="18"/>
              </w:rPr>
              <w:t xml:space="preserve">NOTE</w:t>
            </w:r>
          </w:p>
        </w:tc>
        <w:tc>
          <w:tcPr>
            <w:tcW w:type="dxa" w:w="826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spacing w:after="40" w:before="40"/>
              <w:jc w:val="left"/>
            </w:pPr>
            <w:r>
              <w:rPr>
                <w:rFonts w:ascii="Arial" w:cs="Arial" w:eastAsia="Arial" w:hAnsi="Arial"/>
                <w:b w:val="false"/>
                <w:bCs w:val="false"/>
                <w:i/>
                <w:iCs/>
                <w:color w:val="000000"/>
                <w:sz w:val="20"/>
                <w:szCs w:val="20"/>
              </w:rPr>
              <w:t xml:space="preserve">The Recall–Understanding–Application–Analysis–Evaluation spectrum applies to all question types. A question at the Recall end tests foundational engagement. Questions at Understanding and Application levels test whether the student can explain or use that engagement. Questions at Analysis and Evaluation levels test whether she can examine relationships, weigh evidence, or make a reasoned judgement.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936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2"/>
                <w:szCs w:val="22"/>
              </w:rPr>
              <w:t xml:space="preserve">Rule 2 · Inputs</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2E75B6"/>
                <w:sz w:val="18"/>
                <w:szCs w:val="18"/>
              </w:rPr>
              <w:t xml:space="preserve">MANDATE</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use exactly the two inputs listed above. The LO Handoff determines which competencies are assessed, at what weight, and what each question must test. The Chapter Summary grounds every question and distractor in actual textbook content. Both are required; neither alone is sufficient.</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CC0000"/>
                <w:sz w:val="18"/>
                <w:szCs w:val="18"/>
              </w:rPr>
              <w:t xml:space="preserve">PROHIBITION</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NOT retrieve or reference any document outside the two listed inputs.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936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2"/>
                <w:szCs w:val="22"/>
              </w:rPr>
              <w:t xml:space="preserve">Rule 3 · Executability Boundary</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2E75B6"/>
                <w:sz w:val="18"/>
                <w:szCs w:val="18"/>
              </w:rPr>
              <w:t xml:space="preserve">MANDATE</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Every assessment task MUST satisfy all three of the following: completable within a single classroom session; involves no coordination outside the classroom — no visits, no external speakers, no community involvement; produces a student output the teacher can observe or collect in the same session.</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CC0000"/>
                <w:sz w:val="18"/>
                <w:szCs w:val="18"/>
              </w:rPr>
              <w:t xml:space="preserve">PROHIBITION</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NOT generate multi-session projects, field visits, artefact creation requiring craft materials, or tasks requiring advance coordination with parties outside the classroom.</w:t>
            </w:r>
          </w:p>
        </w:tc>
      </w:tr>
      <w:tr>
        <w:tc>
          <w:tcPr>
            <w:tcW w:type="dxa" w:w="110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BF8F00"/>
                <w:sz w:val="18"/>
                <w:szCs w:val="18"/>
              </w:rPr>
              <w:t xml:space="preserve">NOTE</w:t>
            </w:r>
          </w:p>
        </w:tc>
        <w:tc>
          <w:tcPr>
            <w:tcW w:type="dxa" w:w="826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spacing w:after="40" w:before="40"/>
              <w:jc w:val="left"/>
            </w:pPr>
            <w:r>
              <w:rPr>
                <w:rFonts w:ascii="Arial" w:cs="Arial" w:eastAsia="Arial" w:hAnsi="Arial"/>
                <w:b w:val="false"/>
                <w:bCs w:val="false"/>
                <w:i/>
                <w:iCs/>
                <w:color w:val="000000"/>
                <w:sz w:val="20"/>
                <w:szCs w:val="20"/>
              </w:rPr>
              <w:t xml:space="preserve">Preparation — printing materials, preparing sources or data tables, setting up discussion prompts — may be done outside the session. The executability boundary applies to the assessment session itself, not to preparation.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936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2"/>
                <w:szCs w:val="22"/>
              </w:rPr>
              <w:t xml:space="preserve">Rule 4 · Weight-Driven Assessment Architecture</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2E75B6"/>
                <w:sz w:val="18"/>
                <w:szCs w:val="18"/>
              </w:rPr>
              <w:t xml:space="preserve">MANDATE</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The system MUST structure the assessment using competency weight as the sole architectural governor. Weight prescribes the question types permitted, minimum question count, and guide block depth for each competency. The system fills a weight-determined template — it does not design the template.</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800"/>
              <w:gridCol w:w="2860"/>
            </w:tblGrid>
            <w:tr>
              <w:tc>
                <w:tcPr>
                  <w:tcW w:type="dxa" w:w="15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Weight</w:t>
                  </w:r>
                </w:p>
              </w:tc>
              <w:tc>
                <w:tcPr>
                  <w:tcW w:type="dxa" w:w="21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Question Types Permitted</w:t>
                  </w:r>
                </w:p>
              </w:tc>
              <w:tc>
                <w:tcPr>
                  <w:tcW w:type="dxa" w:w="18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Minimum Questions</w:t>
                  </w:r>
                </w:p>
              </w:tc>
              <w:tc>
                <w:tcPr>
                  <w:tcW w:type="dxa" w:w="286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Guide Block</w:t>
                  </w:r>
                </w:p>
              </w:tc>
            </w:tr>
            <w:tr>
              <w:tc>
                <w:tcPr>
                  <w:tcW w:type="dxa" w:w="15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Central (3)</w:t>
                  </w:r>
                </w:p>
              </w:tc>
              <w:tc>
                <w:tcPr>
                  <w:tcW w:type="dxa" w:w="21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MCQ + Short CR + Extended CR + Open Task</w:t>
                  </w:r>
                </w:p>
              </w:tc>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2 MCQs + 1 SCR + 1 ECR + 1 Open Task</w:t>
                  </w:r>
                </w:p>
              </w:tc>
              <w:tc>
                <w:tcPr>
                  <w:tcW w:type="dxa" w:w="28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Full — see Rule 9</w:t>
                  </w:r>
                </w:p>
              </w:tc>
            </w:tr>
            <w:tr>
              <w:tc>
                <w:tcPr>
                  <w:tcW w:type="dxa" w:w="15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Substantive (2)</w:t>
                  </w:r>
                </w:p>
              </w:tc>
              <w:tc>
                <w:tcPr>
                  <w:tcW w:type="dxa" w:w="21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MCQ + Short CR</w:t>
                  </w:r>
                </w:p>
              </w:tc>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2 MCQs + 1 SCR</w:t>
                  </w:r>
                </w:p>
              </w:tc>
              <w:tc>
                <w:tcPr>
                  <w:tcW w:type="dxa" w:w="28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Standard — see Rule 9</w:t>
                  </w:r>
                </w:p>
              </w:tc>
            </w:tr>
            <w:tr>
              <w:tc>
                <w:tcPr>
                  <w:tcW w:type="dxa" w:w="15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Present (1)</w:t>
                  </w:r>
                </w:p>
              </w:tc>
              <w:tc>
                <w:tcPr>
                  <w:tcW w:type="dxa" w:w="21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MCQ only</w:t>
                  </w:r>
                </w:p>
              </w:tc>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2 MCQs</w:t>
                  </w:r>
                </w:p>
              </w:tc>
              <w:tc>
                <w:tcPr>
                  <w:tcW w:type="dxa" w:w="28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Minimal — see Rule 9</w:t>
                  </w:r>
                </w:p>
              </w:tc>
            </w:tr>
            <w:tr>
              <w:tc>
                <w:tcPr>
                  <w:tcW w:type="dxa" w:w="15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iCs/>
                      <w:color w:val="000000"/>
                      <w:sz w:val="20"/>
                      <w:szCs w:val="20"/>
                    </w:rPr>
                    <w:t xml:space="preserve">Incidental</w:t>
                  </w:r>
                </w:p>
              </w:tc>
              <w:tc>
                <w:tcPr>
                  <w:tcW w:type="dxa" w:w="21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iCs/>
                      <w:color w:val="000000"/>
                      <w:sz w:val="20"/>
                      <w:szCs w:val="20"/>
                    </w:rPr>
                    <w:t xml:space="preserve">Not assessed</w:t>
                  </w:r>
                </w:p>
              </w:tc>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iCs/>
                      <w:color w:val="000000"/>
                      <w:sz w:val="20"/>
                      <w:szCs w:val="20"/>
                    </w:rPr>
                    <w:t xml:space="preserve">None</w:t>
                  </w:r>
                </w:p>
              </w:tc>
              <w:tc>
                <w:tcPr>
                  <w:tcW w:type="dxa" w:w="28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iCs/>
                      <w:color w:val="000000"/>
                      <w:sz w:val="20"/>
                      <w:szCs w:val="20"/>
                    </w:rPr>
                    <w:t xml:space="preserve">None</w:t>
                  </w:r>
                </w:p>
              </w:tc>
            </w:tr>
          </w:tbl>
          <w:p>
            <w:pPr>
              <w:spacing w:after="40" w:before="60"/>
              <w:jc w:val="left"/>
            </w:pPr>
            <w:r>
              <w:rPr>
                <w:rFonts w:ascii="Arial" w:cs="Arial" w:eastAsia="Arial" w:hAnsi="Arial"/>
                <w:b w:val="false"/>
                <w:bCs w:val="false"/>
                <w:i w:val="false"/>
                <w:iCs w:val="false"/>
                <w:color w:val="000000"/>
                <w:sz w:val="20"/>
                <w:szCs w:val="20"/>
              </w:rPr>
              <w:t xml:space="preserve">Assessment length is uncapped — more competencies, larger the assessment. Weight numbers (3, 2, 1) are used internally only and MUST NOT appear in any user-facing output. Use Central, Substantive, Present exclusively.</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CC0000"/>
                <w:sz w:val="18"/>
                <w:szCs w:val="18"/>
              </w:rPr>
              <w:t xml:space="preserve">PROHIBITION</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NOT derive question format from the implied LO type. Format is prescribed by weight only.</w:t>
            </w:r>
          </w:p>
          <w:p>
            <w:pPr>
              <w:spacing w:after="40" w:before="20"/>
              <w:jc w:val="left"/>
            </w:pPr>
            <w:r>
              <w:rPr>
                <w:rFonts w:ascii="Arial" w:cs="Arial" w:eastAsia="Arial" w:hAnsi="Arial"/>
                <w:b w:val="false"/>
                <w:bCs w:val="false"/>
                <w:i w:val="false"/>
                <w:iCs w:val="false"/>
                <w:color w:val="000000"/>
                <w:sz w:val="20"/>
                <w:szCs w:val="20"/>
              </w:rPr>
              <w:t xml:space="preserve">The system MUST NOT assess incidental competencies.</w:t>
            </w:r>
          </w:p>
          <w:p>
            <w:pPr>
              <w:spacing w:after="40" w:before="20"/>
              <w:jc w:val="left"/>
            </w:pPr>
            <w:r>
              <w:rPr>
                <w:rFonts w:ascii="Arial" w:cs="Arial" w:eastAsia="Arial" w:hAnsi="Arial"/>
                <w:b w:val="false"/>
                <w:bCs w:val="false"/>
                <w:i w:val="false"/>
                <w:iCs w:val="false"/>
                <w:color w:val="000000"/>
                <w:sz w:val="20"/>
                <w:szCs w:val="20"/>
              </w:rPr>
              <w:t xml:space="preserve">The system MUST NOT cap total assessment length.</w:t>
            </w:r>
          </w:p>
          <w:p>
            <w:pPr>
              <w:spacing w:after="40" w:before="20"/>
              <w:jc w:val="left"/>
            </w:pPr>
            <w:r>
              <w:rPr>
                <w:rFonts w:ascii="Arial" w:cs="Arial" w:eastAsia="Arial" w:hAnsi="Arial"/>
                <w:b w:val="false"/>
                <w:bCs w:val="false"/>
                <w:i w:val="false"/>
                <w:iCs w:val="false"/>
                <w:color w:val="000000"/>
                <w:sz w:val="20"/>
                <w:szCs w:val="20"/>
              </w:rPr>
              <w:t xml:space="preserve">The system MUST NOT show weight numbers (3, 2, 1) in any user-facing output.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936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2"/>
                <w:szCs w:val="22"/>
              </w:rPr>
              <w:t xml:space="preserve">Rule 5 · Open Task Cap and Assignment Rule</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2E75B6"/>
                <w:sz w:val="18"/>
                <w:szCs w:val="18"/>
              </w:rPr>
              <w:t xml:space="preserve">MANDATE</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generate exactly one open task per assessment, regardless of the number of Central competencies present.</w:t>
            </w:r>
          </w:p>
          <w:p>
            <w:pPr>
              <w:spacing w:after="40" w:before="40"/>
              <w:jc w:val="left"/>
            </w:pPr>
            <w:r>
              <w:rPr>
                <w:rFonts w:ascii="Arial" w:cs="Arial" w:eastAsia="Arial" w:hAnsi="Arial"/>
                <w:b w:val="false"/>
                <w:bCs w:val="false"/>
                <w:i w:val="false"/>
                <w:iCs w:val="false"/>
                <w:color w:val="000000"/>
                <w:sz w:val="20"/>
                <w:szCs w:val="20"/>
              </w:rPr>
              <w:t xml:space="preserve">Assignment rule — Step 1: assign the open task slot to the Central competency with the greatest number of implied LOs in the LO Handoff. Step 2 tiebreaker: if two or more Central competencies have equal implied LO counts, assign to the one that appears first in the LO Handoff. All remaining Central competencies receive an additional extended constructed response in place of the open task.</w:t>
            </w:r>
          </w:p>
        </w:tc>
      </w:tr>
      <w:tr>
        <w:tc>
          <w:tcPr>
            <w:tcW w:type="dxa" w:w="110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BF8F00"/>
                <w:sz w:val="18"/>
                <w:szCs w:val="18"/>
              </w:rPr>
              <w:t xml:space="preserve">NOTE</w:t>
            </w:r>
          </w:p>
        </w:tc>
        <w:tc>
          <w:tcPr>
            <w:tcW w:type="dxa" w:w="826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spacing w:after="40" w:before="40"/>
              <w:jc w:val="left"/>
            </w:pPr>
            <w:r>
              <w:rPr>
                <w:rFonts w:ascii="Arial" w:cs="Arial" w:eastAsia="Arial" w:hAnsi="Arial"/>
                <w:b w:val="false"/>
                <w:bCs w:val="false"/>
                <w:i/>
                <w:iCs/>
                <w:color w:val="000000"/>
                <w:sz w:val="20"/>
                <w:szCs w:val="20"/>
              </w:rPr>
              <w:t xml:space="preserve">The one open task cap prevents time unpredictability in a single session. The extended constructed response is a genuine substitute — it preserves depth and demonstration demand within a predictable time envelope.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936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2"/>
                <w:szCs w:val="22"/>
              </w:rPr>
              <w:t xml:space="preserve">Rule 6 · Recall–Understanding–Application–Analysis–Evaluation Spectrum</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2E75B6"/>
                <w:sz w:val="18"/>
                <w:szCs w:val="18"/>
              </w:rPr>
              <w:t xml:space="preserve">MANDATE</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position every generated question on the Recall–Understanding–Application–Analysis–Evaluation spectrum and state that position in the guide block. Stage-level calibration is inherited from the LO Handoff — the Assessment Constitution does not re-adjudicate it.</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CC0000"/>
                <w:sz w:val="18"/>
                <w:szCs w:val="18"/>
              </w:rPr>
              <w:t xml:space="preserve">PROHIBITION</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NOT independently retrieve stage-level learning outcome documents to recalibrate question demand.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936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2"/>
                <w:szCs w:val="22"/>
              </w:rPr>
              <w:t xml:space="preserve">Rule 7 · MCQ Distractor Design</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2E75B6"/>
                <w:sz w:val="18"/>
                <w:szCs w:val="18"/>
              </w:rPr>
              <w:t xml:space="preserve">MANDATE</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Every MCQ MUST have exactly three diagnostically intentional distractors (four options total). Each distractor must represent one specific, nameable engagement failure: a misconception about the chapter section from which the LO was drawn; a confusion between two concepts present in the same chapter; recall of a related but incorrect detail from the same chapter section.</w:t>
            </w:r>
          </w:p>
          <w:p>
            <w:pPr>
              <w:spacing w:after="40" w:before="40"/>
              <w:jc w:val="left"/>
            </w:pPr>
            <w:r>
              <w:rPr>
                <w:rFonts w:ascii="Arial" w:cs="Arial" w:eastAsia="Arial" w:hAnsi="Arial"/>
                <w:b w:val="false"/>
                <w:bCs w:val="false"/>
                <w:i w:val="false"/>
                <w:iCs w:val="false"/>
                <w:color w:val="000000"/>
                <w:sz w:val="20"/>
                <w:szCs w:val="20"/>
              </w:rPr>
              <w:t xml:space="preserve">The guide block for every MCQ must name what each distractor indicates about the student's engagement failure.</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CC0000"/>
                <w:sz w:val="18"/>
                <w:szCs w:val="18"/>
              </w:rPr>
              <w:t xml:space="preserve">PROHIBITION</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NOT use true/false format. The system MUST NOT generate distractors that are implausible, arbitrary, or sourced from outside the chapter.</w:t>
            </w:r>
          </w:p>
        </w:tc>
      </w:tr>
      <w:tr>
        <w:tc>
          <w:tcPr>
            <w:tcW w:type="dxa" w:w="110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BF8F00"/>
                <w:sz w:val="18"/>
                <w:szCs w:val="18"/>
              </w:rPr>
              <w:t xml:space="preserve">NOTE</w:t>
            </w:r>
          </w:p>
        </w:tc>
        <w:tc>
          <w:tcPr>
            <w:tcW w:type="dxa" w:w="826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spacing w:after="40" w:before="40"/>
              <w:jc w:val="left"/>
            </w:pPr>
            <w:r>
              <w:rPr>
                <w:rFonts w:ascii="Arial" w:cs="Arial" w:eastAsia="Arial" w:hAnsi="Arial"/>
                <w:b w:val="false"/>
                <w:bCs w:val="false"/>
                <w:i/>
                <w:iCs/>
                <w:color w:val="000000"/>
                <w:sz w:val="20"/>
                <w:szCs w:val="20"/>
              </w:rPr>
              <w:t xml:space="preserve">A wrong answer in a well-designed MCQ is diagnostic information, not noise. The guide block transforms each wrong answer into a professional signal for the teacher.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936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2"/>
                <w:szCs w:val="22"/>
              </w:rPr>
              <w:t xml:space="preserve">Rule 8 · Open Task Menu — Social Sciences</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2E75B6"/>
                <w:sz w:val="18"/>
                <w:szCs w:val="18"/>
              </w:rPr>
              <w:t xml:space="preserve">MANDATE</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select the open task format exclusively from the subject-group menu below. The selection must be justified in the guide block: one sentence stating why this format is the most natural demonstration vehicle for the specific implied LO generating the open task slot.</w:t>
            </w:r>
          </w:p>
          <w:p>
            <w:pPr>
              <w:spacing w:after="40" w:before="40"/>
              <w:jc w:val="left"/>
            </w:pPr>
            <w:r>
              <w:rPr>
                <w:rFonts w:ascii="Arial" w:cs="Arial" w:eastAsia="Arial" w:hAnsi="Arial"/>
                <w:b w:val="false"/>
                <w:bCs w:val="false"/>
                <w:i w:val="false"/>
                <w:iCs w:val="false"/>
                <w:color w:val="000000"/>
                <w:sz w:val="20"/>
                <w:szCs w:val="20"/>
              </w:rPr>
              <w:t xml:space="preserve">Social Sciences — Valid formats (session-completable): Comparison table · Cause-effect map · Annotated map or diagram · Structured discussion prompt with written output · Source analysis task (2–3 structured questions on a provided short source)</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CC0000"/>
                <w:sz w:val="18"/>
                <w:szCs w:val="18"/>
              </w:rPr>
              <w:t xml:space="preserve">PROHIBITION</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NOT select a format from outside the subject-group menu. The system MUST NOT select a format for variety alone — the format must be the most natural demonstration vehicle for the specific LO.</w:t>
            </w:r>
          </w:p>
        </w:tc>
      </w:tr>
      <w:tr>
        <w:tc>
          <w:tcPr>
            <w:tcW w:type="dxa" w:w="110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BF8F00"/>
                <w:sz w:val="18"/>
                <w:szCs w:val="18"/>
              </w:rPr>
              <w:t xml:space="preserve">NOTE</w:t>
            </w:r>
          </w:p>
        </w:tc>
        <w:tc>
          <w:tcPr>
            <w:tcW w:type="dxa" w:w="826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spacing w:after="40" w:before="40"/>
              <w:jc w:val="left"/>
            </w:pPr>
            <w:r>
              <w:rPr>
                <w:rFonts w:ascii="Arial" w:cs="Arial" w:eastAsia="Arial" w:hAnsi="Arial"/>
                <w:b w:val="false"/>
                <w:bCs w:val="false"/>
                <w:i/>
                <w:iCs/>
                <w:color w:val="000000"/>
                <w:sz w:val="20"/>
                <w:szCs w:val="20"/>
              </w:rPr>
              <w:t xml:space="preserve">The guide block must note that the teacher may substitute any other format from the same subject-group menu. The menu governs the AI — not the teacher.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936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2"/>
                <w:szCs w:val="22"/>
              </w:rPr>
              <w:t xml:space="preserve">Rule 9 · Guide Layer</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2E75B6"/>
                <w:sz w:val="18"/>
                <w:szCs w:val="18"/>
              </w:rPr>
              <w:t xml:space="preserve">MANDATE</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The system MUST produce a guide block for every generated question. The guide is a structured JSON object — not prose — and is the primary professional support layer for anyone using the assessment, visible on demand. Guide structure is governed by question type only.</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1400"/>
              <w:gridCol w:w="6860"/>
            </w:tblGrid>
            <w:tr>
              <w:tc>
                <w:tcPr>
                  <w:tcW w:type="dxa" w:w="140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Question Type</w:t>
                  </w:r>
                </w:p>
              </w:tc>
              <w:tc>
                <w:tcPr>
                  <w:tcW w:type="dxa" w:w="6860"/>
                  <w:tcBorders>
                    <w:top w:val="single" w:color="AAAAAA" w:sz="4"/>
                    <w:left w:val="single" w:color="AAAAAA" w:sz="4"/>
                    <w:bottom w:val="single" w:color="AAAAAA" w:sz="4"/>
                    <w:right w:val="single" w:color="AAAAAA" w:sz="4"/>
                  </w:tcBorders>
                  <w:shd w:fill="2E75B6"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Guide Block Contents</w:t>
                  </w:r>
                </w:p>
              </w:tc>
            </w:tr>
            <w:tr>
              <w:tc>
                <w:tcPr>
                  <w:tcW w:type="dxa" w:w="1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MCQ</w:t>
                  </w:r>
                </w:p>
              </w:tc>
              <w:tc>
                <w:tcPr>
                  <w:tcW w:type="dxa" w:w="68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what_each_option_reveals — one entry per non-correct option label, stating the specific engagement failure that choosing that option indicates</w:t>
                  </w:r>
                </w:p>
              </w:tc>
            </w:tr>
            <w:tr>
              <w:tc>
                <w:tcPr>
                  <w:tcW w:type="dxa" w:w="1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SCR</w:t>
                  </w:r>
                </w:p>
              </w:tc>
              <w:tc>
                <w:tcPr>
                  <w:tcW w:type="dxa" w:w="68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expected_elements — array of strings; each element is a distinct component a complete response should contain</w:t>
                  </w:r>
                </w:p>
              </w:tc>
            </w:tr>
            <w:tr>
              <w:tc>
                <w:tcPr>
                  <w:tcW w:type="dxa" w:w="1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ECR</w:t>
                  </w:r>
                </w:p>
              </w:tc>
              <w:tc>
                <w:tcPr>
                  <w:tcW w:type="dxa" w:w="68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look_for — array of strings; each describes a qualitative marker that distinguishes a strong response</w:t>
                  </w:r>
                </w:p>
              </w:tc>
            </w:tr>
            <w:tr>
              <w:tc>
                <w:tcPr>
                  <w:tcW w:type="dxa" w:w="1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Open Task</w:t>
                  </w:r>
                </w:p>
              </w:tc>
              <w:tc>
                <w:tcPr>
                  <w:tcW w:type="dxa" w:w="68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what_this_demonstrates — what cognitive operation a complete response evidences</w:t>
                  </w:r>
                </w:p>
                <w:p>
                  <w:pPr>
                    <w:spacing w:after="60" w:before="60"/>
                    <w:jc w:val="left"/>
                  </w:pPr>
                  <w:r>
                    <w:rPr>
                      <w:rFonts w:ascii="Arial" w:cs="Arial" w:eastAsia="Arial" w:hAnsi="Arial"/>
                      <w:b w:val="false"/>
                      <w:bCs w:val="false"/>
                      <w:i w:val="false"/>
                      <w:iCs w:val="false"/>
                      <w:color w:val="000000"/>
                      <w:sz w:val="20"/>
                      <w:szCs w:val="20"/>
                    </w:rPr>
                    <w:t xml:space="preserve">reading_the_scaffold — how to interpret the task structure as a teacher</w:t>
                  </w:r>
                </w:p>
                <w:p>
                  <w:pPr>
                    <w:spacing w:after="60" w:before="60"/>
                    <w:jc w:val="left"/>
                  </w:pPr>
                  <w:r>
                    <w:rPr>
                      <w:rFonts w:ascii="Arial" w:cs="Arial" w:eastAsia="Arial" w:hAnsi="Arial"/>
                      <w:b w:val="false"/>
                      <w:bCs w:val="false"/>
                      <w:i w:val="false"/>
                      <w:iCs w:val="false"/>
                      <w:color w:val="000000"/>
                      <w:sz w:val="20"/>
                      <w:szCs w:val="20"/>
                    </w:rPr>
                    <w:t xml:space="preserve">strong_vs_weak_markers — observable distinctions between strong and weak responses</w:t>
                  </w:r>
                </w:p>
                <w:p>
                  <w:pPr>
                    <w:spacing w:after="60" w:before="60"/>
                    <w:jc w:val="left"/>
                  </w:pPr>
                  <w:r>
                    <w:rPr>
                      <w:rFonts w:ascii="Arial" w:cs="Arial" w:eastAsia="Arial" w:hAnsi="Arial"/>
                      <w:b w:val="false"/>
                      <w:bCs w:val="false"/>
                      <w:i w:val="false"/>
                      <w:iCs w:val="false"/>
                      <w:color w:val="000000"/>
                      <w:sz w:val="20"/>
                      <w:szCs w:val="20"/>
                    </w:rPr>
                    <w:t xml:space="preserve">inclusivity — one to two sentences describing alternative pathways through which different students can demonstrate the same cognitive outcome</w:t>
                  </w:r>
                </w:p>
              </w:tc>
            </w:tr>
          </w:tbl>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CC0000"/>
                <w:sz w:val="18"/>
                <w:szCs w:val="18"/>
              </w:rPr>
              <w:t xml:space="preserve">PROHIBITION</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NOT omit the guide block for any question.</w:t>
            </w:r>
          </w:p>
          <w:p>
            <w:pPr>
              <w:spacing w:after="40" w:before="20"/>
              <w:jc w:val="left"/>
            </w:pPr>
            <w:r>
              <w:rPr>
                <w:rFonts w:ascii="Arial" w:cs="Arial" w:eastAsia="Arial" w:hAnsi="Arial"/>
                <w:b w:val="false"/>
                <w:bCs w:val="false"/>
                <w:i w:val="false"/>
                <w:iCs w:val="false"/>
                <w:color w:val="000000"/>
                <w:sz w:val="20"/>
                <w:szCs w:val="20"/>
              </w:rPr>
              <w:t xml:space="preserve">The system MUST NOT produce the guide block as prose. It must be a structured JSON object with the fields specified above.</w:t>
            </w:r>
          </w:p>
        </w:tc>
      </w:tr>
      <w:tr>
        <w:tc>
          <w:tcPr>
            <w:tcW w:type="dxa" w:w="110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BF8F00"/>
                <w:sz w:val="18"/>
                <w:szCs w:val="18"/>
              </w:rPr>
              <w:t xml:space="preserve">NOTE</w:t>
            </w:r>
          </w:p>
        </w:tc>
        <w:tc>
          <w:tcPr>
            <w:tcW w:type="dxa" w:w="826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spacing w:after="40" w:before="40"/>
              <w:jc w:val="left"/>
            </w:pPr>
            <w:r>
              <w:rPr>
                <w:rFonts w:ascii="Arial" w:cs="Arial" w:eastAsia="Arial" w:hAnsi="Arial"/>
                <w:b w:val="false"/>
                <w:bCs w:val="false"/>
                <w:i/>
                <w:iCs/>
                <w:color w:val="000000"/>
                <w:sz w:val="20"/>
                <w:szCs w:val="20"/>
              </w:rPr>
              <w:t xml:space="preserve">The guide block is the mechanism that turns assessment output into professional support. what_each_option_reveals transforms a wrong answer into a diagnostic signal. strong_vs_weak_markers on the Open Task tells the teacher what to look for without prescribing a single correct answer.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936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22"/>
                <w:szCs w:val="22"/>
              </w:rPr>
              <w:t xml:space="preserve">Rule 10 · Scope Boundary</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2E75B6"/>
                <w:sz w:val="18"/>
                <w:szCs w:val="18"/>
              </w:rPr>
              <w:t xml:space="preserve">MANDATE</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generate chapter-scoped formative assessment only — one component of a teacher's toolkit for a single chapter.</w:t>
            </w:r>
          </w:p>
        </w:tc>
      </w:tr>
      <w:tr>
        <w:tc>
          <w:tcPr>
            <w:tcW w:type="dxa" w:w="11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CC0000"/>
                <w:sz w:val="18"/>
                <w:szCs w:val="18"/>
              </w:rPr>
              <w:t xml:space="preserve">PROHIBITION</w:t>
            </w:r>
          </w:p>
        </w:tc>
        <w:tc>
          <w:tcPr>
            <w:tcW w:type="dxa" w:w="82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40" w:before="40"/>
              <w:jc w:val="left"/>
            </w:pPr>
            <w:r>
              <w:rPr>
                <w:rFonts w:ascii="Arial" w:cs="Arial" w:eastAsia="Arial" w:hAnsi="Arial"/>
                <w:b w:val="false"/>
                <w:bCs w:val="false"/>
                <w:i w:val="false"/>
                <w:iCs w:val="false"/>
                <w:color w:val="000000"/>
                <w:sz w:val="20"/>
                <w:szCs w:val="20"/>
              </w:rPr>
              <w:t xml:space="preserve">The system MUST NOT generate: summative assessments, term-end tests, or Board examination preparation; Holistic Progress Card inputs; multi-session projects or portfolios; individual student tracking across chapters.</w:t>
            </w:r>
          </w:p>
        </w:tc>
      </w:tr>
      <w:tr>
        <w:tc>
          <w:tcPr>
            <w:tcW w:type="dxa" w:w="110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BF8F00"/>
                <w:sz w:val="18"/>
                <w:szCs w:val="18"/>
              </w:rPr>
              <w:t xml:space="preserve">NOTE</w:t>
            </w:r>
          </w:p>
        </w:tc>
        <w:tc>
          <w:tcPr>
            <w:tcW w:type="dxa" w:w="826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spacing w:after="40" w:before="40"/>
              <w:jc w:val="left"/>
            </w:pPr>
            <w:r>
              <w:rPr>
                <w:rFonts w:ascii="Arial" w:cs="Arial" w:eastAsia="Arial" w:hAnsi="Arial"/>
                <w:b w:val="false"/>
                <w:bCs w:val="false"/>
                <w:i/>
                <w:iCs/>
                <w:color w:val="000000"/>
                <w:sz w:val="20"/>
                <w:szCs w:val="20"/>
              </w:rPr>
              <w:t xml:space="preserve">Aruvi generates the floor every teacher can reach — reliably, within a single session, with full competency documentation. Schools with resources build above it.</w:t>
            </w:r>
          </w:p>
        </w:tc>
      </w:tr>
    </w:tbl>
    <w:p>
      <w:pPr>
        <w:spacing w:after="80" w:before="80"/>
      </w:pPr>
      <w:r>
        <w:t xml:space="preserve"/>
      </w:r>
    </w:p>
    <w:p>
      <w:pPr>
        <w:pStyle w:val="Heading1"/>
        <w:spacing w:after="100" w:before="200"/>
      </w:pPr>
      <w:r>
        <w:rPr>
          <w:rFonts w:ascii="Arial" w:cs="Arial" w:eastAsia="Arial" w:hAnsi="Arial"/>
          <w:b/>
          <w:bCs/>
          <w:i w:val="false"/>
          <w:iCs w:val="false"/>
          <w:color w:val="1F4E79"/>
          <w:sz w:val="26"/>
          <w:szCs w:val="26"/>
        </w:rPr>
        <w:t xml:space="preserve">Rule 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360"/>
      </w:tblGrid>
      <w:tr>
        <w:tc>
          <w:tcPr>
            <w:tcW w:type="dxa" w:w="7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Rule</w:t>
            </w:r>
          </w:p>
        </w:tc>
        <w:tc>
          <w:tcPr>
            <w:tcW w:type="dxa" w:w="230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Title</w:t>
            </w:r>
          </w:p>
        </w:tc>
        <w:tc>
          <w:tcPr>
            <w:tcW w:type="dxa" w:w="6360"/>
            <w:tcBorders>
              <w:top w:val="single" w:color="AAAAAA" w:sz="4"/>
              <w:left w:val="single" w:color="AAAAAA" w:sz="4"/>
              <w:bottom w:val="single" w:color="AAAAAA" w:sz="4"/>
              <w:right w:val="single" w:color="AAAAAA" w:sz="4"/>
            </w:tcBorders>
            <w:shd w:fill="1F4E79"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FFFFFF"/>
                <w:sz w:val="18"/>
                <w:szCs w:val="18"/>
              </w:rPr>
              <w:t xml:space="preserve">Core Mechanism</w:t>
            </w:r>
          </w:p>
        </w:tc>
      </w:tr>
      <w:tr>
        <w:tc>
          <w:tcPr>
            <w:tcW w:type="dxa" w:w="7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1</w:t>
            </w:r>
          </w:p>
        </w:tc>
        <w:tc>
          <w:tcPr>
            <w:tcW w:type="dxa" w:w="23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Governing Purpose</w:t>
            </w:r>
          </w:p>
        </w:tc>
        <w:tc>
          <w:tcPr>
            <w:tcW w:type="dxa" w:w="63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Every question tests one or more implied LOs, cited by period number in the guide block. Observable demonstration only.</w:t>
            </w:r>
          </w:p>
        </w:tc>
      </w:tr>
      <w:tr>
        <w:tc>
          <w:tcPr>
            <w:tcW w:type="dxa" w:w="7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2</w:t>
            </w:r>
          </w:p>
        </w:tc>
        <w:tc>
          <w:tcPr>
            <w:tcW w:type="dxa" w:w="23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Inputs</w:t>
            </w:r>
          </w:p>
        </w:tc>
        <w:tc>
          <w:tcPr>
            <w:tcW w:type="dxa" w:w="63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LO Handoff + Chapter Summary only. All other documents prohibited.</w:t>
            </w:r>
          </w:p>
        </w:tc>
      </w:tr>
      <w:tr>
        <w:tc>
          <w:tcPr>
            <w:tcW w:type="dxa" w:w="7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3</w:t>
            </w:r>
          </w:p>
        </w:tc>
        <w:tc>
          <w:tcPr>
            <w:tcW w:type="dxa" w:w="23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Executability Boundary</w:t>
            </w:r>
          </w:p>
        </w:tc>
        <w:tc>
          <w:tcPr>
            <w:tcW w:type="dxa" w:w="63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Single session. No external coordination. Observable output collectible in the same session.</w:t>
            </w:r>
          </w:p>
        </w:tc>
      </w:tr>
      <w:tr>
        <w:tc>
          <w:tcPr>
            <w:tcW w:type="dxa" w:w="7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4</w:t>
            </w:r>
          </w:p>
        </w:tc>
        <w:tc>
          <w:tcPr>
            <w:tcW w:type="dxa" w:w="23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Weight-Driven Architecture</w:t>
            </w:r>
          </w:p>
        </w:tc>
        <w:tc>
          <w:tcPr>
            <w:tcW w:type="dxa" w:w="63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Competency weight prescribes question type, count, and guide block depth. Central / Substantive / Present labels only — never weight numbers in user-facing output.</w:t>
            </w:r>
          </w:p>
        </w:tc>
      </w:tr>
      <w:tr>
        <w:tc>
          <w:tcPr>
            <w:tcW w:type="dxa" w:w="7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5</w:t>
            </w:r>
          </w:p>
        </w:tc>
        <w:tc>
          <w:tcPr>
            <w:tcW w:type="dxa" w:w="23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Open Task Cap</w:t>
            </w:r>
          </w:p>
        </w:tc>
        <w:tc>
          <w:tcPr>
            <w:tcW w:type="dxa" w:w="63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One open task per assessment. Assigned to Central competency with greatest implied LO count. Additional Central competencies receive ECR instead.</w:t>
            </w:r>
          </w:p>
        </w:tc>
      </w:tr>
      <w:tr>
        <w:tc>
          <w:tcPr>
            <w:tcW w:type="dxa" w:w="7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6</w:t>
            </w:r>
          </w:p>
        </w:tc>
        <w:tc>
          <w:tcPr>
            <w:tcW w:type="dxa" w:w="23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Recall–Understanding–Application–Analysis–Evaluation Spectrum</w:t>
            </w:r>
          </w:p>
        </w:tc>
        <w:tc>
          <w:tcPr>
            <w:tcW w:type="dxa" w:w="63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Every question positioned on spectrum. Calibration inherited from LO Handoff.</w:t>
            </w:r>
          </w:p>
        </w:tc>
      </w:tr>
      <w:tr>
        <w:tc>
          <w:tcPr>
            <w:tcW w:type="dxa" w:w="7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7</w:t>
            </w:r>
          </w:p>
        </w:tc>
        <w:tc>
          <w:tcPr>
            <w:tcW w:type="dxa" w:w="23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MCQ Distractor Design</w:t>
            </w:r>
          </w:p>
        </w:tc>
        <w:tc>
          <w:tcPr>
            <w:tcW w:type="dxa" w:w="63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Three diagnostically intentional distractors. Each names a specific engagement failure. No true/false format.</w:t>
            </w:r>
          </w:p>
        </w:tc>
      </w:tr>
      <w:tr>
        <w:tc>
          <w:tcPr>
            <w:tcW w:type="dxa" w:w="7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8</w:t>
            </w:r>
          </w:p>
        </w:tc>
        <w:tc>
          <w:tcPr>
            <w:tcW w:type="dxa" w:w="23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Open Task Menu</w:t>
            </w:r>
          </w:p>
        </w:tc>
        <w:tc>
          <w:tcPr>
            <w:tcW w:type="dxa" w:w="63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Format from Social Sciences menu only. Most natural vehicle for the specific implied LO. Teacher may substitute.</w:t>
            </w:r>
          </w:p>
        </w:tc>
      </w:tr>
      <w:tr>
        <w:tc>
          <w:tcPr>
            <w:tcW w:type="dxa" w:w="7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9</w:t>
            </w:r>
          </w:p>
        </w:tc>
        <w:tc>
          <w:tcPr>
            <w:tcW w:type="dxa" w:w="23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Guide Layer</w:t>
            </w:r>
          </w:p>
        </w:tc>
        <w:tc>
          <w:tcPr>
            <w:tcW w:type="dxa" w:w="63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Structured JSON per question. MCQ → what_each_option_reveals; SCR → expected_elements; ECR → look_for; Open Task → what_this_demonstrates + reading_the_scaffold + strong_vs_weak_markers + inclusivity.</w:t>
            </w:r>
          </w:p>
        </w:tc>
      </w:tr>
      <w:tr>
        <w:tc>
          <w:tcPr>
            <w:tcW w:type="dxa" w:w="7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10</w:t>
            </w:r>
          </w:p>
        </w:tc>
        <w:tc>
          <w:tcPr>
            <w:tcW w:type="dxa" w:w="230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bCs/>
                <w:i w:val="false"/>
                <w:iCs w:val="false"/>
                <w:color w:val="000000"/>
                <w:sz w:val="20"/>
                <w:szCs w:val="20"/>
              </w:rPr>
              <w:t xml:space="preserve">Scope Boundary</w:t>
            </w:r>
          </w:p>
        </w:tc>
        <w:tc>
          <w:tcPr>
            <w:tcW w:type="dxa" w:w="6360"/>
            <w:tcBorders>
              <w:top w:val="single" w:color="AAAAAA" w:sz="4"/>
              <w:left w:val="single" w:color="AAAAAA" w:sz="4"/>
              <w:bottom w:val="single" w:color="AAAAAA" w:sz="4"/>
              <w:right w:val="single" w:color="AAAAAA" w:sz="4"/>
            </w:tcBorders>
            <w:tcMar>
              <w:top w:type="dxa" w:w="100"/>
              <w:left w:type="dxa" w:w="140"/>
              <w:bottom w:type="dxa" w:w="100"/>
              <w:right w:type="dxa" w:w="140"/>
            </w:tcMar>
            <w:vAlign w:val="top"/>
          </w:tcPr>
          <w:p>
            <w:pPr>
              <w:spacing w:after="60" w:before="60"/>
              <w:jc w:val="left"/>
            </w:pPr>
            <w:r>
              <w:rPr>
                <w:rFonts w:ascii="Arial" w:cs="Arial" w:eastAsia="Arial" w:hAnsi="Arial"/>
                <w:b w:val="false"/>
                <w:bCs w:val="false"/>
                <w:i w:val="false"/>
                <w:iCs w:val="false"/>
                <w:color w:val="000000"/>
                <w:sz w:val="20"/>
                <w:szCs w:val="20"/>
              </w:rPr>
              <w:t xml:space="preserve">Chapter-scoped formative only. Summative, HPC, multi-session projects, student tracking out of scope.</w:t>
            </w:r>
          </w:p>
        </w:tc>
      </w:tr>
    </w:tbl>
    <w:p>
      <w:pPr>
        <w:spacing w:after="80" w:before="80"/>
      </w:pPr>
      <w:r>
        <w:t xml:space="preserve"/>
      </w:r>
    </w:p>
    <w:p>
      <w:pPr>
        <w:spacing w:after="0" w:before="120"/>
        <w:jc w:val="center"/>
      </w:pPr>
      <w:r>
        <w:rPr>
          <w:rFonts w:ascii="Arial" w:cs="Arial" w:eastAsia="Arial" w:hAnsi="Arial"/>
          <w:b w:val="false"/>
          <w:bCs w:val="false"/>
          <w:i/>
          <w:iCs/>
          <w:color w:val="666666"/>
          <w:sz w:val="18"/>
          <w:szCs w:val="18"/>
        </w:rPr>
        <w:t xml:space="preserve">Aruvi · Chapter Assessment Constitution · Social Sciences · Version 1.3 · Ten rules · LO Handoff + Chapter Summary as inputs · Guide block mandatory for every question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200"/>
      <w:outlineLvl w:val="0"/>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2026-04-04T07:14:53.642Z</dcterms:created>
  <dcterms:modified xsi:type="dcterms:W3CDTF">2026-04-04T07:14:53.643Z</dcterms:modified>
</cp:coreProperties>
</file>

<file path=docProps/custom.xml><?xml version="1.0" encoding="utf-8"?>
<Properties xmlns="http://schemas.openxmlformats.org/officeDocument/2006/custom-properties" xmlns:vt="http://schemas.openxmlformats.org/officeDocument/2006/docPropsVTypes"/>
</file>