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4E79"/>
          <w:sz w:val="44"/>
          <w:szCs w:val="44"/>
        </w:rPr>
        <w:t xml:space="preserve">ARUVI</w:t>
      </w:r>
    </w:p>
    <w:p>
      <w:pPr>
        <w:spacing w:after="60" w:before="60"/>
        <w:jc w:val="center"/>
      </w:pPr>
      <w:r>
        <w:rPr>
          <w:rFonts w:ascii="Arial" w:cs="Arial" w:eastAsia="Arial" w:hAnsi="Arial"/>
          <w:b/>
          <w:bCs/>
          <w:color w:val="333333"/>
          <w:sz w:val="34"/>
          <w:szCs w:val="34"/>
        </w:rPr>
        <w:t xml:space="preserve">Chapter Assessment Constitution</w:t>
      </w:r>
    </w:p>
    <w:p>
      <w:pPr>
        <w:spacing w:after="400" w:before="60"/>
        <w:jc w:val="center"/>
      </w:pPr>
      <w:r>
        <w:rPr>
          <w:rFonts w:ascii="Arial" w:cs="Arial" w:eastAsia="Arial" w:hAnsi="Arial"/>
          <w:b w:val="false"/>
          <w:bCs w:val="false"/>
          <w:color w:val="666666"/>
          <w:sz w:val="26"/>
          <w:szCs w:val="26"/>
        </w:rPr>
        <w:t xml:space="preserve">Social Sciences · Version 1.3</w:t>
      </w:r>
    </w:p>
    <w:p>
      <w:pPr>
        <w:spacing w:after="80" w:before="80"/>
      </w:pPr>
      <w:r>
        <w:rPr>
          <w:rFonts w:ascii="Arial" w:cs="Arial" w:eastAsia="Arial" w:hAnsi="Arial"/>
          <w:b/>
          <w:bCs/>
          <w:i w:val="false"/>
          <w:iCs w:val="false"/>
          <w:color w:val="222222"/>
          <w:sz w:val="22"/>
          <w:szCs w:val="22"/>
        </w:rPr>
        <w:t xml:space="preserve">INPUTS (given — do not retrieve or supplement):</w:t>
      </w:r>
    </w:p>
    <w:p>
      <w:pPr>
        <w:spacing w:after="80" w:before="80"/>
      </w:pPr>
      <w:r>
        <w:rPr>
          <w:rFonts w:ascii="Arial" w:cs="Arial" w:eastAsia="Arial" w:hAnsi="Arial"/>
          <w:b w:val="false"/>
          <w:bCs w:val="false"/>
          <w:i w:val="false"/>
          <w:iCs w:val="false"/>
          <w:color w:val="222222"/>
          <w:sz w:val="21"/>
          <w:szCs w:val="21"/>
        </w:rPr>
        <w:t xml:space="preserve">1.  LO Handoff — for each period: period_number, period_duration_minutes, chapter_section, activity_summary, implied_lo, c_code, cg, weight</w:t>
      </w:r>
    </w:p>
    <w:p>
      <w:pPr>
        <w:spacing w:after="80" w:before="80"/>
      </w:pPr>
      <w:r>
        <w:rPr>
          <w:rFonts w:ascii="Arial" w:cs="Arial" w:eastAsia="Arial" w:hAnsi="Arial"/>
          <w:b w:val="false"/>
          <w:bCs w:val="false"/>
          <w:i w:val="false"/>
          <w:iCs w:val="false"/>
          <w:color w:val="222222"/>
          <w:sz w:val="21"/>
          <w:szCs w:val="21"/>
        </w:rPr>
        <w:t xml:space="preserve">2.  Chapter Summary — structured content summary mirroring textbook headings</w:t>
      </w:r>
    </w:p>
    <w:p>
      <w:pPr>
        <w:spacing w:after="80" w:before="160"/>
      </w:pPr>
      <w:r>
        <w:rPr>
          <w:rFonts w:ascii="Arial" w:cs="Arial" w:eastAsia="Arial" w:hAnsi="Arial"/>
          <w:b/>
          <w:bCs/>
          <w:i w:val="false"/>
          <w:iCs w:val="false"/>
          <w:color w:val="222222"/>
          <w:sz w:val="22"/>
          <w:szCs w:val="22"/>
        </w:rPr>
        <w:t xml:space="preserve">OUTPUTS REQUIRED:</w:t>
      </w:r>
    </w:p>
    <w:p>
      <w:pPr>
        <w:spacing w:after="80" w:before="80"/>
      </w:pPr>
      <w:r>
        <w:rPr>
          <w:rFonts w:ascii="Arial" w:cs="Arial" w:eastAsia="Arial" w:hAnsi="Arial"/>
          <w:b w:val="false"/>
          <w:bCs w:val="false"/>
          <w:i w:val="false"/>
          <w:iCs w:val="false"/>
          <w:color w:val="222222"/>
          <w:sz w:val="21"/>
          <w:szCs w:val="21"/>
        </w:rPr>
        <w:t xml:space="preserve">1.  Weight-structured chapter assessment</w:t>
      </w:r>
    </w:p>
    <w:p>
      <w:pPr>
        <w:spacing w:after="80" w:before="80"/>
      </w:pPr>
      <w:r>
        <w:rPr>
          <w:rFonts w:ascii="Arial" w:cs="Arial" w:eastAsia="Arial" w:hAnsi="Arial"/>
          <w:b w:val="false"/>
          <w:bCs w:val="false"/>
          <w:i w:val="false"/>
          <w:iCs w:val="false"/>
          <w:color w:val="222222"/>
          <w:sz w:val="21"/>
          <w:szCs w:val="21"/>
        </w:rPr>
        <w:t xml:space="preserve">2.  Diagnostically intentional MCQ distractors</w:t>
      </w:r>
    </w:p>
    <w:p>
      <w:pPr>
        <w:spacing w:after="80" w:before="80"/>
      </w:pPr>
      <w:r>
        <w:rPr>
          <w:rFonts w:ascii="Arial" w:cs="Arial" w:eastAsia="Arial" w:hAnsi="Arial"/>
          <w:b w:val="false"/>
          <w:bCs w:val="false"/>
          <w:i w:val="false"/>
          <w:iCs w:val="false"/>
          <w:color w:val="222222"/>
          <w:sz w:val="21"/>
          <w:szCs w:val="21"/>
        </w:rPr>
        <w:t xml:space="preserve">3.  Guide block for every question (structured JSON)</w:t>
      </w:r>
    </w:p>
    <w:p>
      <w:pPr>
        <w:spacing w:after="80" w:before="140"/>
      </w:pPr>
      <w:r>
        <w:rPr>
          <w:rFonts w:ascii="Arial" w:cs="Arial" w:eastAsia="Arial" w:hAnsi="Arial"/>
          <w:b/>
          <w:bCs/>
          <w:i w:val="false"/>
          <w:iCs w:val="false"/>
          <w:color w:val="C00000"/>
          <w:sz w:val="21"/>
          <w:szCs w:val="21"/>
        </w:rPr>
        <w:t xml:space="preserve">PROHIBITION: The system MUST NOT retrieve the Curricular Goals document, Chapter Mapping JSON, Pedagogy document, or any Learning Outcome document.</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1 · GOVERNING PURPOSE</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generate assessment tasks that test whether the student engaged with the designed activities in the spirit of developing the chapter's mapped competencies. Every question must be traceable to at least one implied LO from the LO Handoff. A question may test a single implied LO, a group of related LOs, or synthesise across implied LOs from multiple activities — provided the implied LO or LOs being tested are explicitly named in the guide block by period number.</w:t>
      </w:r>
    </w:p>
    <w:p>
      <w:pPr>
        <w:spacing w:after="80" w:before="80"/>
      </w:pPr>
      <w:r>
        <w:rPr>
          <w:rFonts w:ascii="Arial" w:cs="Arial" w:eastAsia="Arial" w:hAnsi="Arial"/>
          <w:b w:val="false"/>
          <w:bCs w:val="false"/>
          <w:i w:val="false"/>
          <w:iCs w:val="false"/>
          <w:color w:val="222222"/>
          <w:sz w:val="21"/>
          <w:szCs w:val="21"/>
        </w:rPr>
        <w:t xml:space="preserve">The demonstration required must be observable — a response, a product, a classification, a justification — that a teacher can see, read, or collect in the classroom.</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generate questions asking whether a student understood, appreciated, or felt something. Questions must require demonstration, not introspective self-report.</w:t>
      </w:r>
    </w:p>
    <w:p>
      <w:pPr>
        <w:pStyle w:val="ListParagraph"/>
        <w:numPr>
          <w:ilvl w:val="0"/>
          <w:numId w:val="2"/>
        </w:numPr>
        <w:spacing w:after="40" w:before="40"/>
      </w:pPr>
      <w:r>
        <w:rPr>
          <w:rFonts w:ascii="Arial" w:cs="Arial" w:eastAsia="Arial" w:hAnsi="Arial"/>
          <w:color w:val="C00000"/>
          <w:sz w:val="21"/>
          <w:szCs w:val="21"/>
        </w:rPr>
        <w:t xml:space="preserve">MUST NOT test content absorption independently of the chapter's competency targets. Every question must serve a mapped competency.</w:t>
      </w:r>
    </w:p>
    <w:p>
      <w:pPr>
        <w:pStyle w:val="ListParagraph"/>
        <w:numPr>
          <w:ilvl w:val="0"/>
          <w:numId w:val="2"/>
        </w:numPr>
        <w:spacing w:after="40" w:before="40"/>
      </w:pPr>
      <w:r>
        <w:rPr>
          <w:rFonts w:ascii="Arial" w:cs="Arial" w:eastAsia="Arial" w:hAnsi="Arial"/>
          <w:color w:val="C00000"/>
          <w:sz w:val="21"/>
          <w:szCs w:val="21"/>
        </w:rPr>
        <w:t xml:space="preserve">MUST NOT generate tasks that assess teacher performance, lesson plan validity, or mapping accuracy.</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2 · INPUTS</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use exactly the two inputs listed above. The LO Handoff determines which competencies are assessed, at what weight, and what each question must test. The Chapter Summary grounds every question and distractor in actual textbook content. Both are required; neither alone is sufficient.</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retrieve or reference any document outside the two listed inputs.</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3 · EXECUTABILITY BOUNDARY</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Every assessment task MUST satisfy all three of the following:</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completable within a single classroom session;</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involves no coordination outside the classroom — no visits, no external speakers, no community involvement;</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produces a student output the teacher can observe or collect in the same session.</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generate multi-session projects, field visits, artefact creation requiring craft materials, or tasks requiring advance coordination with parties outside the classroom.</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4 · WEIGHT-DRIVEN ASSESSMENT ARCHITECTURE</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structure the assessment using competency weight as the sole architectural governor. Weight prescribes the question types permitted, minimum question count, and guide block depth for each competency. The system fills a weight-determined template — it does not design the template.</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2700"/>
        <w:gridCol w:w="1760"/>
      </w:tblGrid>
      <w:tr>
        <w:tc>
          <w:tcPr>
            <w:tcW w:type="dxa" w:w="21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Weight Label</w:t>
            </w:r>
          </w:p>
        </w:tc>
        <w:tc>
          <w:tcPr>
            <w:tcW w:type="dxa" w:w="28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Question Types Permitted</w:t>
            </w:r>
          </w:p>
        </w:tc>
        <w:tc>
          <w:tcPr>
            <w:tcW w:type="dxa" w:w="27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Minimum Questions</w:t>
            </w:r>
          </w:p>
        </w:tc>
        <w:tc>
          <w:tcPr>
            <w:tcW w:type="dxa" w:w="176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Guide Block</w:t>
            </w:r>
          </w:p>
        </w:tc>
      </w:tr>
      <w:tr>
        <w:tc>
          <w:tcPr>
            <w:tcW w:type="dxa" w:w="2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Central (3)</w:t>
            </w:r>
          </w:p>
        </w:tc>
        <w:tc>
          <w:tcPr>
            <w:tcW w:type="dxa" w:w="2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MCQ + SCR + ECR + Open Task</w:t>
            </w:r>
          </w:p>
        </w:tc>
        <w:tc>
          <w:tcPr>
            <w:tcW w:type="dxa" w:w="27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2 MCQs + 1 SCR + 1 ECR + 1 Open Task</w:t>
            </w:r>
          </w:p>
        </w:tc>
        <w:tc>
          <w:tcPr>
            <w:tcW w:type="dxa" w:w="17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Full — see Rule 9</w:t>
            </w:r>
          </w:p>
        </w:tc>
      </w:tr>
      <w:tr>
        <w:tc>
          <w:tcPr>
            <w:tcW w:type="dxa" w:w="2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Substantive (2)</w:t>
            </w:r>
          </w:p>
        </w:tc>
        <w:tc>
          <w:tcPr>
            <w:tcW w:type="dxa" w:w="2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MCQ + SCR</w:t>
            </w:r>
          </w:p>
        </w:tc>
        <w:tc>
          <w:tcPr>
            <w:tcW w:type="dxa" w:w="27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2 MCQs + 1 SCR</w:t>
            </w:r>
          </w:p>
        </w:tc>
        <w:tc>
          <w:tcPr>
            <w:tcW w:type="dxa" w:w="17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Standard — see Rule 9</w:t>
            </w:r>
          </w:p>
        </w:tc>
      </w:tr>
      <w:tr>
        <w:tc>
          <w:tcPr>
            <w:tcW w:type="dxa" w:w="2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Present (1)</w:t>
            </w:r>
          </w:p>
        </w:tc>
        <w:tc>
          <w:tcPr>
            <w:tcW w:type="dxa" w:w="2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MCQ only</w:t>
            </w:r>
          </w:p>
        </w:tc>
        <w:tc>
          <w:tcPr>
            <w:tcW w:type="dxa" w:w="27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2 MCQs</w:t>
            </w:r>
          </w:p>
        </w:tc>
        <w:tc>
          <w:tcPr>
            <w:tcW w:type="dxa" w:w="17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Minimal — see Rule 9</w:t>
            </w:r>
          </w:p>
        </w:tc>
      </w:tr>
      <w:tr>
        <w:tc>
          <w:tcPr>
            <w:tcW w:type="dxa" w:w="2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Incidental</w:t>
            </w:r>
          </w:p>
        </w:tc>
        <w:tc>
          <w:tcPr>
            <w:tcW w:type="dxa" w:w="2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Not assessed</w:t>
            </w:r>
          </w:p>
        </w:tc>
        <w:tc>
          <w:tcPr>
            <w:tcW w:type="dxa" w:w="27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None</w:t>
            </w:r>
          </w:p>
        </w:tc>
        <w:tc>
          <w:tcPr>
            <w:tcW w:type="dxa" w:w="17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None</w:t>
            </w:r>
          </w:p>
        </w:tc>
      </w:tr>
    </w:tbl>
    <w:p>
      <w:pPr>
        <w:spacing w:after="60" w:before="120"/>
      </w:pPr>
    </w:p>
    <w:p>
      <w:pPr>
        <w:spacing w:after="80" w:before="80"/>
      </w:pPr>
      <w:r>
        <w:rPr>
          <w:rFonts w:ascii="Arial" w:cs="Arial" w:eastAsia="Arial" w:hAnsi="Arial"/>
          <w:b w:val="false"/>
          <w:bCs w:val="false"/>
          <w:i w:val="false"/>
          <w:iCs w:val="false"/>
          <w:color w:val="222222"/>
          <w:sz w:val="21"/>
          <w:szCs w:val="21"/>
        </w:rPr>
        <w:t xml:space="preserve">Assessment length is uncapped — more competencies, larger the assessment. Weight numbers (3, 2, 1) are used internally only and MUST NOT appear in any user-facing output. Use Central, Substantive, Present exclusively.</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derive question format from the implied LO type. Format is prescribed by weight only.</w:t>
      </w:r>
    </w:p>
    <w:p>
      <w:pPr>
        <w:pStyle w:val="ListParagraph"/>
        <w:numPr>
          <w:ilvl w:val="0"/>
          <w:numId w:val="2"/>
        </w:numPr>
        <w:spacing w:after="40" w:before="40"/>
      </w:pPr>
      <w:r>
        <w:rPr>
          <w:rFonts w:ascii="Arial" w:cs="Arial" w:eastAsia="Arial" w:hAnsi="Arial"/>
          <w:color w:val="C00000"/>
          <w:sz w:val="21"/>
          <w:szCs w:val="21"/>
        </w:rPr>
        <w:t xml:space="preserve">MUST NOT assess incidental competencies.</w:t>
      </w:r>
    </w:p>
    <w:p>
      <w:pPr>
        <w:pStyle w:val="ListParagraph"/>
        <w:numPr>
          <w:ilvl w:val="0"/>
          <w:numId w:val="2"/>
        </w:numPr>
        <w:spacing w:after="40" w:before="40"/>
      </w:pPr>
      <w:r>
        <w:rPr>
          <w:rFonts w:ascii="Arial" w:cs="Arial" w:eastAsia="Arial" w:hAnsi="Arial"/>
          <w:color w:val="C00000"/>
          <w:sz w:val="21"/>
          <w:szCs w:val="21"/>
        </w:rPr>
        <w:t xml:space="preserve">MUST NOT cap total assessment length.</w:t>
      </w:r>
    </w:p>
    <w:p>
      <w:pPr>
        <w:pStyle w:val="ListParagraph"/>
        <w:numPr>
          <w:ilvl w:val="0"/>
          <w:numId w:val="2"/>
        </w:numPr>
        <w:spacing w:after="40" w:before="40"/>
      </w:pPr>
      <w:r>
        <w:rPr>
          <w:rFonts w:ascii="Arial" w:cs="Arial" w:eastAsia="Arial" w:hAnsi="Arial"/>
          <w:color w:val="C00000"/>
          <w:sz w:val="21"/>
          <w:szCs w:val="21"/>
        </w:rPr>
        <w:t xml:space="preserve">MUST NOT show weight numbers (3, 2, 1) in any user-facing output.</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5 · OPEN TASK CAP AND ASSIGNMENT RULE</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generate exactly one open task per assessment, regardless of the number of Central competencies present.</w:t>
      </w:r>
    </w:p>
    <w:p>
      <w:pPr>
        <w:spacing w:after="80" w:before="80"/>
      </w:pPr>
      <w:r>
        <w:rPr>
          <w:rFonts w:ascii="Arial" w:cs="Arial" w:eastAsia="Arial" w:hAnsi="Arial"/>
          <w:b w:val="false"/>
          <w:bCs w:val="false"/>
          <w:i w:val="false"/>
          <w:iCs w:val="false"/>
          <w:color w:val="222222"/>
          <w:sz w:val="21"/>
          <w:szCs w:val="21"/>
        </w:rPr>
        <w:t xml:space="preserve">Assignment rule — Step 1: assign the open task slot to the Central competency with the greatest number of implied LOs in the LO Handoff. Step 2 tiebreaker: if two or more Central competencies have equal implied LO counts, assign to the one that appears first in the LO Handoff. All remaining Central competencies receive an additional extended constructed response in place of the open task.</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6 · RECALL–UNDERSTANDING–APPLICATION–ANALYSIS–EVALUATION SPECTRUM</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position every generated question on the Recall–Understanding–Application–Analysis–Evaluation spectrum and state that position in the guide block. Calibration is inherited from the LO Handoff — the Assessment Constitution does not re-adjudicate it.</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independently retrieve stage-level learning outcome documents to recalibrate question demand.</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7 · MCQ DISTRACTOR DESIGN</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Every MCQ MUST have exactly three diagnostically intentional distractors (four options total). Each distractor must represent one specific, nameable engagement failure:</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a misconception about the chapter section from which the LO was drawn;</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a confusion between two concepts present in the same chapter;</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recall of a related but incorrect detail from the same chapter section.</w:t>
      </w:r>
    </w:p>
    <w:p>
      <w:pPr>
        <w:spacing w:after="80" w:before="80"/>
      </w:pPr>
      <w:r>
        <w:rPr>
          <w:rFonts w:ascii="Arial" w:cs="Arial" w:eastAsia="Arial" w:hAnsi="Arial"/>
          <w:b w:val="false"/>
          <w:bCs w:val="false"/>
          <w:i w:val="false"/>
          <w:iCs w:val="false"/>
          <w:color w:val="222222"/>
          <w:sz w:val="21"/>
          <w:szCs w:val="21"/>
        </w:rPr>
        <w:t xml:space="preserve">The guide block for every MCQ must name what each distractor indicates about the student's engagement failure.</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use true/false format.</w:t>
      </w:r>
    </w:p>
    <w:p>
      <w:pPr>
        <w:pStyle w:val="ListParagraph"/>
        <w:numPr>
          <w:ilvl w:val="0"/>
          <w:numId w:val="2"/>
        </w:numPr>
        <w:spacing w:after="40" w:before="40"/>
      </w:pPr>
      <w:r>
        <w:rPr>
          <w:rFonts w:ascii="Arial" w:cs="Arial" w:eastAsia="Arial" w:hAnsi="Arial"/>
          <w:color w:val="C00000"/>
          <w:sz w:val="21"/>
          <w:szCs w:val="21"/>
        </w:rPr>
        <w:t xml:space="preserve">MUST NOT generate distractors that are implausible, arbitrary, or sourced from outside the chapter.</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8 · OPEN TASK MENU — SOCIAL SCIENCES</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select the open task format exclusively from the Social Sciences menu below. The selection must be justified in the guide block: one sentence stating why this format is the most natural demonstration vehicle for the specific implied LO generating the open task slot.</w:t>
      </w:r>
    </w:p>
    <w:p>
      <w:pPr>
        <w:spacing w:after="80" w:before="120"/>
      </w:pPr>
      <w:r>
        <w:rPr>
          <w:rFonts w:ascii="Arial" w:cs="Arial" w:eastAsia="Arial" w:hAnsi="Arial"/>
          <w:b/>
          <w:bCs/>
          <w:i w:val="false"/>
          <w:iCs w:val="false"/>
          <w:color w:val="222222"/>
          <w:sz w:val="21"/>
          <w:szCs w:val="21"/>
        </w:rPr>
        <w:t xml:space="preserve">Valid formats (session-completable):</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Comparison table</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Cause-effect map</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Annotated map or diagram</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Structured discussion prompt with written output</w:t>
      </w:r>
    </w:p>
    <w:p>
      <w:pPr>
        <w:pStyle w:val="ListParagraph"/>
        <w:numPr>
          <w:ilvl w:val="0"/>
          <w:numId w:val="2"/>
        </w:numPr>
        <w:spacing w:after="80" w:before="80"/>
      </w:pPr>
      <w:r>
        <w:rPr>
          <w:rFonts w:ascii="Arial" w:cs="Arial" w:eastAsia="Arial" w:hAnsi="Arial"/>
          <w:b w:val="false"/>
          <w:bCs w:val="false"/>
          <w:i w:val="false"/>
          <w:iCs w:val="false"/>
          <w:color w:val="222222"/>
          <w:sz w:val="21"/>
          <w:szCs w:val="21"/>
        </w:rPr>
        <w:t xml:space="preserve">Source analysis task (2–3 structured questions on a provided short source)</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select a format from outside the Social Sciences menu.</w:t>
      </w:r>
    </w:p>
    <w:p>
      <w:pPr>
        <w:pStyle w:val="ListParagraph"/>
        <w:numPr>
          <w:ilvl w:val="0"/>
          <w:numId w:val="2"/>
        </w:numPr>
        <w:spacing w:after="40" w:before="40"/>
      </w:pPr>
      <w:r>
        <w:rPr>
          <w:rFonts w:ascii="Arial" w:cs="Arial" w:eastAsia="Arial" w:hAnsi="Arial"/>
          <w:color w:val="C00000"/>
          <w:sz w:val="21"/>
          <w:szCs w:val="21"/>
        </w:rPr>
        <w:t xml:space="preserve">MUST NOT select a format for variety alone — the format must be the most natural demonstration vehicle for the specific LO.</w:t>
      </w:r>
    </w:p>
    <w:p>
      <w:pPr>
        <w:spacing w:after="80" w:before="80"/>
      </w:pPr>
      <w:r>
        <w:rPr>
          <w:rFonts w:ascii="Arial" w:cs="Arial" w:eastAsia="Arial" w:hAnsi="Arial"/>
          <w:b w:val="false"/>
          <w:bCs w:val="false"/>
          <w:i w:val="false"/>
          <w:iCs w:val="false"/>
          <w:color w:val="222222"/>
          <w:sz w:val="21"/>
          <w:szCs w:val="21"/>
        </w:rPr>
        <w:t xml:space="preserve">The guide block must note that the teacher may substitute any other format from the same Social Sciences menu. The menu governs the AI — not the teacher.</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9 · GUIDE LAYER</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produce a guide block for every generated question. The guide is a structured JSON object — not prose — and is the primary professional support layer for anyone using the assessment, visible on demand. Guide structure is governed by question type only.</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Question Type</w:t>
            </w:r>
          </w:p>
        </w:tc>
        <w:tc>
          <w:tcPr>
            <w:tcW w:type="dxa" w:w="756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Guide Keys Required</w:t>
            </w:r>
          </w:p>
        </w:tc>
      </w:tr>
      <w:tr>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MCQ</w:t>
            </w:r>
          </w:p>
        </w:tc>
        <w:tc>
          <w:tcPr>
            <w:tcW w:type="dxa" w:w="7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what_each_option_reveals — one entry per non-correct option label, stating the specific engagement failure that choosing that option indicates</w:t>
            </w:r>
          </w:p>
        </w:tc>
      </w:tr>
      <w:tr>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SCR</w:t>
            </w:r>
          </w:p>
        </w:tc>
        <w:tc>
          <w:tcPr>
            <w:tcW w:type="dxa" w:w="7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expected_elements — array of strings; each element is a distinct component a complete response should contain</w:t>
            </w:r>
          </w:p>
        </w:tc>
      </w:tr>
      <w:tr>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ECR</w:t>
            </w:r>
          </w:p>
        </w:tc>
        <w:tc>
          <w:tcPr>
            <w:tcW w:type="dxa" w:w="7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look_for — array of strings; each describes a qualitative marker that distinguishes a strong response</w:t>
            </w:r>
          </w:p>
        </w:tc>
      </w:tr>
      <w:tr>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Open Task</w:t>
            </w:r>
          </w:p>
        </w:tc>
        <w:tc>
          <w:tcPr>
            <w:tcW w:type="dxa" w:w="7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what_this_demonstrates · reading_the_scaffold · strong_vs_weak_markers · inclusivity · format_type · format_rationale</w:t>
            </w:r>
          </w:p>
        </w:tc>
      </w:tr>
    </w:tbl>
    <w:p>
      <w:pPr>
        <w:spacing w:before="80"/>
      </w:pP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omit the guide block for any question.</w:t>
      </w:r>
    </w:p>
    <w:p>
      <w:pPr>
        <w:pStyle w:val="ListParagraph"/>
        <w:numPr>
          <w:ilvl w:val="0"/>
          <w:numId w:val="2"/>
        </w:numPr>
        <w:spacing w:after="40" w:before="40"/>
      </w:pPr>
      <w:r>
        <w:rPr>
          <w:rFonts w:ascii="Arial" w:cs="Arial" w:eastAsia="Arial" w:hAnsi="Arial"/>
          <w:color w:val="C00000"/>
          <w:sz w:val="21"/>
          <w:szCs w:val="21"/>
        </w:rPr>
        <w:t xml:space="preserve">MUST NOT produce the guide block as prose. It must be a structured JSON object with the fields specified above.</w:t>
      </w:r>
    </w:p>
    <w:p>
      <w:pPr>
        <w:pBdr>
          <w:bottom w:val="single" w:color="C0D4E8" w:sz="4" w:space="1"/>
        </w:pBdr>
        <w:spacing w:after="200" w:before="200"/>
      </w:pPr>
    </w:p>
    <w:p>
      <w:pPr>
        <w:pStyle w:val="Heading2"/>
        <w:pBdr>
          <w:left w:val="thick" w:color="1F4E79" w:sz="12" w:space="8"/>
        </w:pBdr>
        <w:shd w:fill="EBF5FF" w:val="clear"/>
        <w:spacing w:after="100" w:before="300"/>
        <w:ind w:left="180"/>
      </w:pPr>
      <w:r>
        <w:rPr>
          <w:rFonts w:ascii="Arial" w:cs="Arial" w:eastAsia="Arial" w:hAnsi="Arial"/>
          <w:b/>
          <w:bCs/>
          <w:color w:val="1F4E79"/>
          <w:sz w:val="26"/>
          <w:szCs w:val="26"/>
        </w:rPr>
        <w:t xml:space="preserve">RULE 10 · SCOPE BOUNDARY</w:t>
      </w:r>
    </w:p>
    <w:p>
      <w:pPr>
        <w:spacing w:after="80" w:before="80"/>
      </w:pPr>
      <w:r>
        <w:rPr>
          <w:rFonts w:ascii="Arial" w:cs="Arial" w:eastAsia="Arial" w:hAnsi="Arial"/>
          <w:b/>
          <w:bCs/>
          <w:i w:val="false"/>
          <w:iCs w:val="false"/>
          <w:color w:val="1F4E79"/>
          <w:sz w:val="21"/>
          <w:szCs w:val="21"/>
        </w:rPr>
        <w:t xml:space="preserve">MANDATE</w:t>
      </w:r>
    </w:p>
    <w:p>
      <w:pPr>
        <w:spacing w:after="80" w:before="80"/>
      </w:pPr>
      <w:r>
        <w:rPr>
          <w:rFonts w:ascii="Arial" w:cs="Arial" w:eastAsia="Arial" w:hAnsi="Arial"/>
          <w:b w:val="false"/>
          <w:bCs w:val="false"/>
          <w:i w:val="false"/>
          <w:iCs w:val="false"/>
          <w:color w:val="222222"/>
          <w:sz w:val="21"/>
          <w:szCs w:val="21"/>
        </w:rPr>
        <w:t xml:space="preserve">The system MUST generate chapter-scoped formative assessment only — one component of a teacher's toolkit for a single chapter.</w:t>
      </w: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generate: summative assessments, term-end tests, or Board examination preparation.</w:t>
      </w:r>
    </w:p>
    <w:p>
      <w:pPr>
        <w:pStyle w:val="ListParagraph"/>
        <w:numPr>
          <w:ilvl w:val="0"/>
          <w:numId w:val="2"/>
        </w:numPr>
        <w:spacing w:after="40" w:before="40"/>
      </w:pPr>
      <w:r>
        <w:rPr>
          <w:rFonts w:ascii="Arial" w:cs="Arial" w:eastAsia="Arial" w:hAnsi="Arial"/>
          <w:color w:val="C00000"/>
          <w:sz w:val="21"/>
          <w:szCs w:val="21"/>
        </w:rPr>
        <w:t xml:space="preserve">MUST NOT generate: Holistic Progress Card inputs; multi-session projects or portfolios; individual student tracking across chapters.</w:t>
      </w:r>
    </w:p>
    <w:p>
      <w:pPr>
        <w:pBdr>
          <w:bottom w:val="single" w:color="C0D4E8" w:sz="4" w:space="1"/>
        </w:pBdr>
        <w:spacing w:after="200" w:before="200"/>
      </w:pPr>
    </w:p>
    <w:p>
      <w:pPr>
        <w:pStyle w:val="Heading1"/>
        <w:spacing w:after="160" w:before="300"/>
      </w:pPr>
      <w:r>
        <w:rPr>
          <w:rFonts w:ascii="Arial" w:cs="Arial" w:eastAsia="Arial" w:hAnsi="Arial"/>
          <w:b/>
          <w:bCs/>
          <w:color w:val="1F4E79"/>
          <w:sz w:val="32"/>
          <w:szCs w:val="32"/>
        </w:rPr>
        <w:t xml:space="preserve">Amendment A1 — Assessment Items JSON Schema</w:t>
      </w:r>
    </w:p>
    <w:p>
      <w:pPr>
        <w:spacing w:after="80" w:before="80"/>
      </w:pPr>
      <w:r>
        <w:rPr>
          <w:rFonts w:ascii="Arial" w:cs="Arial" w:eastAsia="Arial" w:hAnsi="Arial"/>
          <w:b w:val="false"/>
          <w:bCs w:val="false"/>
          <w:i w:val="false"/>
          <w:iCs w:val="false"/>
          <w:color w:val="222222"/>
          <w:sz w:val="21"/>
          <w:szCs w:val="21"/>
        </w:rPr>
        <w:t xml:space="preserve">The system MUST produce the assessment output as a JSON object containing an assessment_items[] array. Every question is a flat item in this array. The array is the single source of truth for display and teacher guide rendering.</w:t>
      </w:r>
    </w:p>
    <w:p>
      <w:pPr>
        <w:spacing w:after="80" w:before="80"/>
      </w:pPr>
      <w:r>
        <w:rPr>
          <w:rFonts w:ascii="Arial" w:cs="Arial" w:eastAsia="Arial" w:hAnsi="Arial"/>
          <w:b w:val="false"/>
          <w:bCs w:val="false"/>
          <w:i w:val="false"/>
          <w:iCs w:val="false"/>
          <w:color w:val="222222"/>
          <w:sz w:val="21"/>
          <w:szCs w:val="21"/>
        </w:rPr>
        <w:t xml:space="preserve">The system MUST populate every field on every item. Fields not applicable to a question type MUST be present as empty arrays [] or empty strings "" — never omitted entirely.</w:t>
      </w:r>
    </w:p>
    <w:p>
      <w:pPr>
        <w:spacing w:after="60" w:before="120"/>
      </w:pPr>
    </w:p>
    <w:p>
      <w:pPr>
        <w:pBdr>
          <w:left w:val="single" w:color="999999" w:sz="8" w:space="6"/>
        </w:pBdr>
        <w:shd w:fill="F2F2F2" w:val="clear"/>
        <w:spacing w:after="100" w:before="100"/>
        <w:ind w:left="360"/>
      </w:pPr>
      <w:r>
        <w:rPr>
          <w:rFonts w:ascii="Courier New" w:cs="Courier New" w:eastAsia="Courier New" w:hAnsi="Courier New"/>
          <w:color w:val="333333"/>
          <w:sz w:val="18"/>
          <w:szCs w:val="18"/>
        </w:rPr>
        <w:t xml:space="preserve">{</w:t>
      </w:r>
      <w:r>
        <w:rPr>
          <w:rFonts w:ascii="Courier New" w:cs="Courier New" w:eastAsia="Courier New" w:hAnsi="Courier New"/>
          <w:color w:val="333333"/>
          <w:sz w:val="18"/>
          <w:szCs w:val="18"/>
        </w:rPr>
        <w:br/>
        <w:t xml:space="preserve">  "question_type":     string   — MCQ | SCR | ECR | OPEN_TASK</w:t>
      </w:r>
      <w:r>
        <w:rPr>
          <w:rFonts w:ascii="Courier New" w:cs="Courier New" w:eastAsia="Courier New" w:hAnsi="Courier New"/>
          <w:color w:val="333333"/>
          <w:sz w:val="18"/>
          <w:szCs w:val="18"/>
        </w:rPr>
        <w:br/>
        <w:t xml:space="preserve">  "question_text":     string   — question stem (OPEN_TASK: "")</w:t>
      </w:r>
      <w:r>
        <w:rPr>
          <w:rFonts w:ascii="Courier New" w:cs="Courier New" w:eastAsia="Courier New" w:hAnsi="Courier New"/>
          <w:color w:val="333333"/>
          <w:sz w:val="18"/>
          <w:szCs w:val="18"/>
        </w:rPr>
        <w:br/>
        <w:t xml:space="preserve">  "options": [         — MCQ only: exactly 4 items labelled A–D</w:t>
      </w:r>
      <w:r>
        <w:rPr>
          <w:rFonts w:ascii="Courier New" w:cs="Courier New" w:eastAsia="Courier New" w:hAnsi="Courier New"/>
          <w:color w:val="333333"/>
          <w:sz w:val="18"/>
          <w:szCs w:val="18"/>
        </w:rPr>
        <w:br/>
        <w:t xml:space="preserve">    { "label": string, "text": string, "is_correct": boolean }</w:t>
      </w:r>
      <w:r>
        <w:rPr>
          <w:rFonts w:ascii="Courier New" w:cs="Courier New" w:eastAsia="Courier New" w:hAnsi="Courier New"/>
          <w:color w:val="333333"/>
          <w:sz w:val="18"/>
          <w:szCs w:val="18"/>
        </w:rPr>
        <w:br/>
        <w:t xml:space="preserve">  ],</w:t>
      </w:r>
      <w:r>
        <w:rPr>
          <w:rFonts w:ascii="Courier New" w:cs="Courier New" w:eastAsia="Courier New" w:hAnsi="Courier New"/>
          <w:color w:val="333333"/>
          <w:sz w:val="18"/>
          <w:szCs w:val="18"/>
        </w:rPr>
        <w:br/>
        <w:t xml:space="preserve">  "expected_elements": array    — SCR only; non-SCR: []</w:t>
      </w:r>
      <w:r>
        <w:rPr>
          <w:rFonts w:ascii="Courier New" w:cs="Courier New" w:eastAsia="Courier New" w:hAnsi="Courier New"/>
          <w:color w:val="333333"/>
          <w:sz w:val="18"/>
          <w:szCs w:val="18"/>
        </w:rPr>
        <w:br/>
        <w:t xml:space="preserve">  "look_for":          array    — ECR only; non-ECR: []</w:t>
      </w:r>
      <w:r>
        <w:rPr>
          <w:rFonts w:ascii="Courier New" w:cs="Courier New" w:eastAsia="Courier New" w:hAnsi="Courier New"/>
          <w:color w:val="333333"/>
          <w:sz w:val="18"/>
          <w:szCs w:val="18"/>
        </w:rPr>
        <w:br/>
        <w:t xml:space="preserve">  "task":              string   — OPEN_TASK only; others: ""</w:t>
      </w:r>
      <w:r>
        <w:rPr>
          <w:rFonts w:ascii="Courier New" w:cs="Courier New" w:eastAsia="Courier New" w:hAnsi="Courier New"/>
          <w:color w:val="333333"/>
          <w:sz w:val="18"/>
          <w:szCs w:val="18"/>
        </w:rPr>
        <w:br/>
        <w:t xml:space="preserve">  "scaffold":          string   — OPEN_TASK only; others: ""</w:t>
      </w:r>
      <w:r>
        <w:rPr>
          <w:rFonts w:ascii="Courier New" w:cs="Courier New" w:eastAsia="Courier New" w:hAnsi="Courier New"/>
          <w:color w:val="333333"/>
          <w:sz w:val="18"/>
          <w:szCs w:val="18"/>
        </w:rPr>
        <w:br/>
        <w:t xml:space="preserve">  "format_of_output":  array    — OPEN_TASK only; others: []</w:t>
      </w:r>
      <w:r>
        <w:rPr>
          <w:rFonts w:ascii="Courier New" w:cs="Courier New" w:eastAsia="Courier New" w:hAnsi="Courier New"/>
          <w:color w:val="333333"/>
          <w:sz w:val="18"/>
          <w:szCs w:val="18"/>
        </w:rPr>
        <w:br/>
        <w:t xml:space="preserve">  "visual_stimulus":   string   — OPEN_TASK / data tasks; others: ""</w:t>
      </w:r>
      <w:r>
        <w:rPr>
          <w:rFonts w:ascii="Courier New" w:cs="Courier New" w:eastAsia="Courier New" w:hAnsi="Courier New"/>
          <w:color w:val="333333"/>
          <w:sz w:val="18"/>
          <w:szCs w:val="18"/>
        </w:rPr>
        <w:br/>
        <w:t xml:space="preserve">  "annotation":        string   — marking guidance; required on all items</w:t>
      </w:r>
      <w:r>
        <w:rPr>
          <w:rFonts w:ascii="Courier New" w:cs="Courier New" w:eastAsia="Courier New" w:hAnsi="Courier New"/>
          <w:color w:val="333333"/>
          <w:sz w:val="18"/>
          <w:szCs w:val="18"/>
        </w:rPr>
        <w:br/>
        <w:t xml:space="preserve">  "cognitive_demand":  string   — Recall|Understanding|Application|Analysis|Evaluation</w:t>
      </w:r>
      <w:r>
        <w:rPr>
          <w:rFonts w:ascii="Courier New" w:cs="Courier New" w:eastAsia="Courier New" w:hAnsi="Courier New"/>
          <w:color w:val="333333"/>
          <w:sz w:val="18"/>
          <w:szCs w:val="18"/>
        </w:rPr>
        <w:br/>
        <w:t xml:space="preserve">  "period_ref":        array    — period numbers from LO Handoff</w:t>
      </w:r>
      <w:r>
        <w:rPr>
          <w:rFonts w:ascii="Courier New" w:cs="Courier New" w:eastAsia="Courier New" w:hAnsi="Courier New"/>
          <w:color w:val="333333"/>
          <w:sz w:val="18"/>
          <w:szCs w:val="18"/>
        </w:rPr>
        <w:br/>
        <w:t xml:space="preserve">  "chapter_section":   string   — named chapter section</w:t>
      </w:r>
      <w:r>
        <w:rPr>
          <w:rFonts w:ascii="Courier New" w:cs="Courier New" w:eastAsia="Courier New" w:hAnsi="Courier New"/>
          <w:color w:val="333333"/>
          <w:sz w:val="18"/>
          <w:szCs w:val="18"/>
        </w:rPr>
        <w:br/>
        <w:t xml:space="preserve">  "weight_label":      string   — Central | Substantive | Present</w:t>
      </w:r>
      <w:r>
        <w:rPr>
          <w:rFonts w:ascii="Courier New" w:cs="Courier New" w:eastAsia="Courier New" w:hAnsi="Courier New"/>
          <w:color w:val="333333"/>
          <w:sz w:val="18"/>
          <w:szCs w:val="18"/>
        </w:rPr>
        <w:br/>
        <w:t xml:space="preserve">  "competency": {</w:t>
      </w:r>
      <w:r>
        <w:rPr>
          <w:rFonts w:ascii="Courier New" w:cs="Courier New" w:eastAsia="Courier New" w:hAnsi="Courier New"/>
          <w:color w:val="333333"/>
          <w:sz w:val="18"/>
          <w:szCs w:val="18"/>
        </w:rPr>
        <w:br/>
        <w:t xml:space="preserve">    "c_code": string,  "competency_text": string,  "weight": integer</w:t>
      </w:r>
      <w:r>
        <w:rPr>
          <w:rFonts w:ascii="Courier New" w:cs="Courier New" w:eastAsia="Courier New" w:hAnsi="Courier New"/>
          <w:color w:val="333333"/>
          <w:sz w:val="18"/>
          <w:szCs w:val="18"/>
        </w:rPr>
        <w:br/>
        <w:t xml:space="preserve">  },</w:t>
      </w:r>
      <w:r>
        <w:rPr>
          <w:rFonts w:ascii="Courier New" w:cs="Courier New" w:eastAsia="Courier New" w:hAnsi="Courier New"/>
          <w:color w:val="333333"/>
          <w:sz w:val="18"/>
          <w:szCs w:val="18"/>
        </w:rPr>
        <w:br/>
        <w:t xml:space="preserve">  "guide": object      — structured guide block per Rule 9</w:t>
      </w:r>
      <w:r>
        <w:rPr>
          <w:rFonts w:ascii="Courier New" w:cs="Courier New" w:eastAsia="Courier New" w:hAnsi="Courier New"/>
          <w:color w:val="333333"/>
          <w:sz w:val="18"/>
          <w:szCs w:val="18"/>
        </w:rPr>
        <w:br/>
        <w:t xml:space="preserve">}</w:t>
      </w:r>
    </w:p>
    <w:p>
      <w:pPr>
        <w:spacing w:after="60" w:before="140"/>
      </w:pPr>
    </w:p>
    <w:p>
      <w:pPr>
        <w:spacing w:after="80" w:before="80"/>
      </w:pPr>
      <w:r>
        <w:rPr>
          <w:rFonts w:ascii="Arial" w:cs="Arial" w:eastAsia="Arial" w:hAnsi="Arial"/>
          <w:b/>
          <w:bCs/>
          <w:i w:val="false"/>
          <w:iCs w:val="false"/>
          <w:color w:val="1F4E79"/>
          <w:sz w:val="21"/>
          <w:szCs w:val="21"/>
        </w:rPr>
        <w:t xml:space="preserve">FIELD POPULATION RULES BY QUESTION TYPE</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800"/>
        <w:gridCol w:w="1200"/>
        <w:gridCol w:w="1800"/>
        <w:gridCol w:w="1960"/>
      </w:tblGrid>
      <w:tr>
        <w:tc>
          <w:tcPr>
            <w:tcW w:type="dxa" w:w="11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Type</w:t>
            </w:r>
          </w:p>
        </w:tc>
        <w:tc>
          <w:tcPr>
            <w:tcW w:type="dxa" w:w="15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options</w:t>
            </w:r>
          </w:p>
        </w:tc>
        <w:tc>
          <w:tcPr>
            <w:tcW w:type="dxa" w:w="18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expected_elements</w:t>
            </w:r>
          </w:p>
        </w:tc>
        <w:tc>
          <w:tcPr>
            <w:tcW w:type="dxa" w:w="12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look_for</w:t>
            </w:r>
          </w:p>
        </w:tc>
        <w:tc>
          <w:tcPr>
            <w:tcW w:type="dxa" w:w="180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task/scaffold/format</w:t>
            </w:r>
          </w:p>
        </w:tc>
        <w:tc>
          <w:tcPr>
            <w:tcW w:type="dxa" w:w="1960"/>
            <w:tcBorders>
              <w:top w:val="single" w:color="C0C0C0" w:sz="1"/>
              <w:left w:val="single" w:color="C0C0C0" w:sz="1"/>
              <w:bottom w:val="single" w:color="C0C0C0" w:sz="1"/>
              <w:right w:val="single" w:color="C0C0C0"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guide keys</w:t>
            </w:r>
          </w:p>
        </w:tc>
      </w:tr>
      <w:tr>
        <w:tc>
          <w:tcPr>
            <w:tcW w:type="dxa" w:w="1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MCQ</w:t>
            </w:r>
          </w:p>
        </w:tc>
        <w:tc>
          <w:tcPr>
            <w:tcW w:type="dxa" w:w="15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Required (4)</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2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  ""  []</w:t>
            </w:r>
          </w:p>
        </w:tc>
        <w:tc>
          <w:tcPr>
            <w:tcW w:type="dxa" w:w="19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what_each_option_reveals</w:t>
            </w:r>
          </w:p>
        </w:tc>
      </w:tr>
      <w:tr>
        <w:tc>
          <w:tcPr>
            <w:tcW w:type="dxa" w:w="1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SCR</w:t>
            </w:r>
          </w:p>
        </w:tc>
        <w:tc>
          <w:tcPr>
            <w:tcW w:type="dxa" w:w="15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Required</w:t>
            </w:r>
          </w:p>
        </w:tc>
        <w:tc>
          <w:tcPr>
            <w:tcW w:type="dxa" w:w="12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  ""  []</w:t>
            </w:r>
          </w:p>
        </w:tc>
        <w:tc>
          <w:tcPr>
            <w:tcW w:type="dxa" w:w="19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expected_elements</w:t>
            </w:r>
          </w:p>
        </w:tc>
      </w:tr>
      <w:tr>
        <w:tc>
          <w:tcPr>
            <w:tcW w:type="dxa" w:w="1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ECR</w:t>
            </w:r>
          </w:p>
        </w:tc>
        <w:tc>
          <w:tcPr>
            <w:tcW w:type="dxa" w:w="15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2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Required</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  ""  []</w:t>
            </w:r>
          </w:p>
        </w:tc>
        <w:tc>
          <w:tcPr>
            <w:tcW w:type="dxa" w:w="19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look_for</w:t>
            </w:r>
          </w:p>
        </w:tc>
      </w:tr>
      <w:tr>
        <w:tc>
          <w:tcPr>
            <w:tcW w:type="dxa" w:w="11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OPEN_TASK</w:t>
            </w:r>
          </w:p>
        </w:tc>
        <w:tc>
          <w:tcPr>
            <w:tcW w:type="dxa" w:w="15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2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w:t>
            </w:r>
          </w:p>
        </w:tc>
        <w:tc>
          <w:tcPr>
            <w:tcW w:type="dxa" w:w="1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All required</w:t>
            </w:r>
          </w:p>
        </w:tc>
        <w:tc>
          <w:tcPr>
            <w:tcW w:type="dxa" w:w="19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all six open task fields</w:t>
            </w:r>
          </w:p>
        </w:tc>
      </w:tr>
    </w:tbl>
    <w:p>
      <w:pPr>
        <w:spacing w:before="120"/>
      </w:pPr>
    </w:p>
    <w:p>
      <w:pPr>
        <w:spacing w:after="80" w:before="120"/>
      </w:pPr>
      <w:r>
        <w:rPr>
          <w:rFonts w:ascii="Arial" w:cs="Arial" w:eastAsia="Arial" w:hAnsi="Arial"/>
          <w:b/>
          <w:bCs/>
          <w:i w:val="false"/>
          <w:iCs w:val="false"/>
          <w:color w:val="C00000"/>
          <w:sz w:val="21"/>
          <w:szCs w:val="21"/>
        </w:rPr>
        <w:t xml:space="preserve">PROHIBITION</w:t>
      </w:r>
    </w:p>
    <w:p>
      <w:pPr>
        <w:pStyle w:val="ListParagraph"/>
        <w:numPr>
          <w:ilvl w:val="0"/>
          <w:numId w:val="2"/>
        </w:numPr>
        <w:spacing w:after="40" w:before="40"/>
      </w:pPr>
      <w:r>
        <w:rPr>
          <w:rFonts w:ascii="Arial" w:cs="Arial" w:eastAsia="Arial" w:hAnsi="Arial"/>
          <w:color w:val="C00000"/>
          <w:sz w:val="21"/>
          <w:szCs w:val="21"/>
        </w:rPr>
        <w:t xml:space="preserve">MUST NOT use question_type values outside {MCQ, SCR, ECR, OPEN_TASK}.</w:t>
      </w:r>
    </w:p>
    <w:p>
      <w:pPr>
        <w:pStyle w:val="ListParagraph"/>
        <w:numPr>
          <w:ilvl w:val="0"/>
          <w:numId w:val="2"/>
        </w:numPr>
        <w:spacing w:after="40" w:before="40"/>
      </w:pPr>
      <w:r>
        <w:rPr>
          <w:rFonts w:ascii="Arial" w:cs="Arial" w:eastAsia="Arial" w:hAnsi="Arial"/>
          <w:color w:val="C00000"/>
          <w:sz w:val="21"/>
          <w:szCs w:val="21"/>
        </w:rPr>
        <w:t xml:space="preserve">MUST NOT omit any field from any item — use [] or "" for non-applicable fields.</w:t>
      </w:r>
    </w:p>
    <w:p>
      <w:pPr>
        <w:pStyle w:val="ListParagraph"/>
        <w:numPr>
          <w:ilvl w:val="0"/>
          <w:numId w:val="2"/>
        </w:numPr>
        <w:spacing w:after="40" w:before="40"/>
      </w:pPr>
      <w:r>
        <w:rPr>
          <w:rFonts w:ascii="Arial" w:cs="Arial" w:eastAsia="Arial" w:hAnsi="Arial"/>
          <w:color w:val="C00000"/>
          <w:sz w:val="21"/>
          <w:szCs w:val="21"/>
        </w:rPr>
        <w:t xml:space="preserve">MUST NOT omit the guide block from any item.</w:t>
      </w:r>
    </w:p>
    <w:p>
      <w:pPr>
        <w:pStyle w:val="ListParagraph"/>
        <w:numPr>
          <w:ilvl w:val="0"/>
          <w:numId w:val="2"/>
        </w:numPr>
        <w:spacing w:after="40" w:before="40"/>
      </w:pPr>
      <w:r>
        <w:rPr>
          <w:rFonts w:ascii="Arial" w:cs="Arial" w:eastAsia="Arial" w:hAnsi="Arial"/>
          <w:color w:val="C00000"/>
          <w:sz w:val="21"/>
          <w:szCs w:val="21"/>
        </w:rPr>
        <w:t xml:space="preserve">MUST NOT add fields not listed in this schema.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ARUVI  ·  Assessment Constitution · Social Sciences</w:t>
    </w:r>
    <w:r>
      <w:rPr>
        <w:rFonts w:ascii="Arial" w:cs="Arial" w:eastAsia="Arial" w:hAnsi="Arial"/>
        <w:color w:val="888888"/>
        <w:sz w:val="18"/>
        <w:szCs w:val="18"/>
      </w:rPr>
      <w:t xml:space="preserve">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2026-04-06T10:08:54.560Z</dcterms:created>
  <dcterms:modified xsi:type="dcterms:W3CDTF">2026-04-06T10:08:54.561Z</dcterms:modified>
</cp:coreProperties>
</file>

<file path=docProps/custom.xml><?xml version="1.0" encoding="utf-8"?>
<Properties xmlns="http://schemas.openxmlformats.org/officeDocument/2006/custom-properties" xmlns:vt="http://schemas.openxmlformats.org/officeDocument/2006/docPropsVTypes"/>
</file>