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caps/>
          <w:color w:val="7F8C8D"/>
          <w:sz w:val="18"/>
          <w:szCs w:val="18"/>
        </w:rPr>
        <w:t xml:space="preserve">ARUVI · PEDAGOGICAL PLATFORM</w:t>
      </w:r>
    </w:p>
    <w:p>
      <w:pPr>
        <w:spacing w:before="0" w:after="40"/>
      </w:pPr>
      <w:r>
        <w:rPr>
          <w:rFonts w:ascii="Arial" w:cs="Arial" w:eastAsia="Arial" w:hAnsi="Arial"/>
          <w:b/>
          <w:bCs/>
          <w:color w:val="2C3E50"/>
          <w:sz w:val="30"/>
          <w:szCs w:val="30"/>
        </w:rPr>
        <w:t xml:space="preserve">Chapter Assessment Constitution</w:t>
      </w:r>
    </w:p>
    <w:p>
      <w:pPr>
        <w:spacing w:before="0" w:after="30"/>
      </w:pPr>
      <w:r>
        <w:rPr>
          <w:rFonts w:ascii="Arial" w:cs="Arial" w:eastAsia="Arial" w:hAnsi="Arial"/>
          <w:i/>
          <w:iCs/>
          <w:color w:val="7F8C8D"/>
          <w:sz w:val="19"/>
          <w:szCs w:val="19"/>
        </w:rPr>
        <w:t xml:space="preserve">Version 1.2</w:t>
      </w:r>
    </w:p>
    <w:p>
      <w:pPr>
        <w:spacing w:before="0" w:after="20"/>
      </w:pPr>
      <w:r>
        <w:rPr>
          <w:rFonts w:ascii="Arial" w:cs="Arial" w:eastAsia="Arial" w:hAnsi="Arial"/>
          <w:i/>
          <w:iCs/>
          <w:color w:val="7F8C8D"/>
          <w:sz w:val="17"/>
          <w:szCs w:val="17"/>
        </w:rPr>
        <w:t xml:space="preserve">Ten prescriptive rules governing AI decision-making in chapter assessment generation · Generic across all subjects and stages</w:t>
      </w:r>
    </w:p>
    <w:p>
      <w:pPr>
        <w:pBdr>
          <w:bottom w:val="single" w:color="1A6B72" w:sz="4"/>
        </w:pBdr>
        <w:spacing w:before="6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pPr>
              <w:spacing w:before="0" w:after="80"/>
            </w:pPr>
            <w:r>
              <w:rPr>
                <w:rFonts w:ascii="Arial" w:cs="Arial" w:eastAsia="Arial" w:hAnsi="Arial"/>
                <w:b/>
                <w:bCs/>
                <w:caps/>
                <w:color w:val="2C3E50"/>
                <w:sz w:val="18"/>
                <w:szCs w:val="18"/>
              </w:rPr>
              <w:t xml:space="preserve">WHAT THIS CONSTITUTION GOVERNS</w:t>
            </w:r>
          </w:p>
          <w:p>
            <w:pPr>
              <w:spacing w:before="0" w:after="100"/>
              <w:jc w:val="both"/>
            </w:pPr>
            <w:r>
              <w:rPr>
                <w:rFonts w:ascii="Arial" w:cs="Arial" w:eastAsia="Arial" w:hAnsi="Arial"/>
                <w:color w:val="2C3E50"/>
                <w:sz w:val="19"/>
                <w:szCs w:val="19"/>
              </w:rPr>
              <w:t xml:space="preserve">These rules govern chapter-level formative assessment generation only. They do not govern the chapter mapping process or lesson plan generation, which are completed separately under their own constitutions.</w:t>
            </w:r>
          </w:p>
          <w:p>
            <w:pPr>
              <w:spacing w:before="0" w:after="60"/>
            </w:pPr>
          </w:p>
          <w:p>
            <w:pPr>
              <w:spacing w:before="0" w:after="100"/>
              <w:jc w:val="both"/>
            </w:pPr>
            <w:r>
              <w:rPr>
                <w:rFonts w:ascii="Arial" w:cs="Arial" w:eastAsia="Arial" w:hAnsi="Arial"/>
                <w:color w:val="2C3E50"/>
                <w:sz w:val="19"/>
                <w:szCs w:val="19"/>
              </w:rPr>
              <w:t xml:space="preserve">The assessment generator receives exactly two settled inputs: (1) the LO Handoff from the Lesson Plan Constitution — containing, for each period, the period number, period duration in minutes, chapter section, activity summary, implied LO, C-code, CG, and weight; and (2) the Chapter Summary — the structured content summary of the textbook chapter.</w:t>
            </w:r>
          </w:p>
          <w:p>
            <w:pPr>
              <w:spacing w:before="0" w:after="60"/>
            </w:pPr>
          </w:p>
          <w:p>
            <w:pPr>
              <w:spacing w:before="0" w:after="100"/>
              <w:jc w:val="both"/>
            </w:pPr>
            <w:r>
              <w:rPr>
                <w:rFonts w:ascii="Arial" w:cs="Arial" w:eastAsia="Arial" w:hAnsi="Arial"/>
                <w:color w:val="2C3E50"/>
                <w:sz w:val="19"/>
                <w:szCs w:val="19"/>
              </w:rPr>
              <w:t xml:space="preserve">These inputs are given. The generator does not re-evaluate competencies, re-open chapter mapping, consult the Curricular Goals document, or retrieve pedagogical approach documents.</w:t>
            </w:r>
          </w:p>
          <w:p>
            <w:pPr>
              <w:spacing w:before="0" w:after="60"/>
            </w:pPr>
          </w:p>
          <w:p>
            <w:pPr>
              <w:spacing w:before="0" w:after="100"/>
              <w:jc w:val="both"/>
            </w:pPr>
            <w:r>
              <w:rPr>
                <w:rFonts w:ascii="Arial" w:cs="Arial" w:eastAsia="Arial" w:hAnsi="Arial"/>
                <w:color w:val="2C3E50"/>
                <w:sz w:val="19"/>
                <w:szCs w:val="19"/>
              </w:rPr>
              <w:t xml:space="preserve">The governing principle of assessment generation is this: every assessment question must test one or more implied LOs from the LO Handoff. A question may test a single implied LO from a single activity, a group of implied LOs from related activities, or synthesise across implied LOs from multiple activities — provided the implied LO or LOs being tested are explicitly named in the question's annotation by period number. Competency weight governs question type, question count, and annotation depth. The implied LOs govern what each question actually tests.</w:t>
            </w:r>
          </w:p>
          <w:p>
            <w:pPr>
              <w:spacing w:before="0" w:after="60"/>
            </w:pPr>
          </w:p>
          <w:p>
            <w:pPr>
              <w:spacing w:before="0" w:after="100"/>
              <w:jc w:val="both"/>
            </w:pPr>
            <w:r>
              <w:rPr>
                <w:rFonts w:ascii="Arial" w:cs="Arial" w:eastAsia="Arial" w:hAnsi="Arial"/>
                <w:color w:val="2C3E50"/>
                <w:sz w:val="19"/>
                <w:szCs w:val="19"/>
              </w:rPr>
              <w:t xml:space="preserve">The Chapter Summary grounds every question and distractor in actual textbook content. The LO Handoff is the sole source of what is being tested. Together they ensure the assessment is both content-accurate and pedagogically traceable.</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GIVEN INPUTS (do not regenerate)</w:t>
            </w:r>
          </w:p>
        </w:tc>
        <w:tc>
          <w:tcPr>
            <w:tcW w:type="dxa" w:w="4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REQUIRED OUTPUTS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LO Handoff — containing for each period: period number, period duration in minutes, chapter section, activity summary, implied LO, C-code, CG, weight</w:t>
            </w:r>
          </w:p>
          <w:p>
            <w:pPr>
              <w:pStyle w:val="ListParagraph"/>
              <w:numPr>
                <w:ilvl w:val="0"/>
                <w:numId w:val="2"/>
              </w:numPr>
              <w:spacing w:before="0" w:after="60"/>
            </w:pPr>
            <w:r>
              <w:rPr>
                <w:rFonts w:ascii="Arial" w:cs="Arial" w:eastAsia="Arial" w:hAnsi="Arial"/>
                <w:color w:val="2C3E50"/>
                <w:sz w:val="19"/>
                <w:szCs w:val="19"/>
              </w:rPr>
              <w:t xml:space="preserve">Chapter Summary — structured content summary mirroring textbook headings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Weight-structured chapter assessment (question types and count prescribed by competency weight)</w:t>
            </w:r>
          </w:p>
          <w:p>
            <w:pPr>
              <w:pStyle w:val="ListParagraph"/>
              <w:numPr>
                <w:ilvl w:val="0"/>
                <w:numId w:val="2"/>
              </w:numPr>
              <w:spacing w:before="0" w:after="60"/>
            </w:pPr>
            <w:r>
              <w:rPr>
                <w:rFonts w:ascii="Arial" w:cs="Arial" w:eastAsia="Arial" w:hAnsi="Arial"/>
                <w:color w:val="2C3E50"/>
                <w:sz w:val="19"/>
                <w:szCs w:val="19"/>
              </w:rPr>
              <w:t xml:space="preserve">Every question traceable to one or more named implied LOs, cited by period number in the annotation</w:t>
            </w:r>
          </w:p>
          <w:p>
            <w:pPr>
              <w:pStyle w:val="ListParagraph"/>
              <w:numPr>
                <w:ilvl w:val="0"/>
                <w:numId w:val="2"/>
              </w:numPr>
              <w:spacing w:before="0" w:after="60"/>
            </w:pPr>
            <w:r>
              <w:rPr>
                <w:rFonts w:ascii="Arial" w:cs="Arial" w:eastAsia="Arial" w:hAnsi="Arial"/>
                <w:color w:val="2C3E50"/>
                <w:sz w:val="19"/>
                <w:szCs w:val="19"/>
              </w:rPr>
              <w:t xml:space="preserve">MCQ distractors diagnostically intentional — each names a specific engagement failure</w:t>
            </w:r>
          </w:p>
          <w:p>
            <w:pPr>
              <w:pStyle w:val="ListParagraph"/>
              <w:numPr>
                <w:ilvl w:val="0"/>
                <w:numId w:val="2"/>
              </w:numPr>
              <w:spacing w:before="0" w:after="60"/>
            </w:pPr>
            <w:r>
              <w:rPr>
                <w:rFonts w:ascii="Arial" w:cs="Arial" w:eastAsia="Arial" w:hAnsi="Arial"/>
                <w:color w:val="2C3E50"/>
                <w:sz w:val="19"/>
                <w:szCs w:val="19"/>
              </w:rPr>
              <w:t xml:space="preserve">Annotation layer (click-to-reveal, scaled by weight, not visible to students)</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before="0" w:after="100"/>
              <w:jc w:val="both"/>
            </w:pPr>
            <w:r>
              <w:rPr>
                <w:rFonts w:ascii="Arial" w:cs="Arial" w:eastAsia="Arial" w:hAnsi="Arial"/>
                <w:b/>
                <w:bCs/>
                <w:color w:val="2C3E50"/>
                <w:sz w:val="19"/>
                <w:szCs w:val="19"/>
              </w:rPr>
              <w:t xml:space="preserve">The following are explicitly excluded as inputs and MUST NOT be retrieved or referenced:</w:t>
            </w:r>
          </w:p>
          <w:p>
            <w:pPr>
              <w:pStyle w:val="ListParagraph"/>
              <w:numPr>
                <w:ilvl w:val="0"/>
                <w:numId w:val="2"/>
              </w:numPr>
              <w:spacing w:before="0" w:after="60"/>
            </w:pPr>
            <w:r>
              <w:rPr>
                <w:rFonts w:ascii="Arial" w:cs="Arial" w:eastAsia="Arial" w:hAnsi="Arial"/>
                <w:color w:val="2C3E50"/>
                <w:sz w:val="19"/>
                <w:szCs w:val="19"/>
              </w:rPr>
              <w:t xml:space="preserve">Curricular Goals document — the LO Handoff carries C-code and weight for every activity; reading the CG document during assessment generation enables backward derivation of questions from competency definitions, bypassing the implied LOs entirely</w:t>
            </w:r>
          </w:p>
          <w:p>
            <w:pPr>
              <w:pStyle w:val="ListParagraph"/>
              <w:numPr>
                <w:ilvl w:val="0"/>
                <w:numId w:val="2"/>
              </w:numPr>
              <w:spacing w:before="0" w:after="60"/>
            </w:pPr>
            <w:r>
              <w:rPr>
                <w:rFonts w:ascii="Arial" w:cs="Arial" w:eastAsia="Arial" w:hAnsi="Arial"/>
                <w:color w:val="2C3E50"/>
                <w:sz w:val="19"/>
                <w:szCs w:val="19"/>
              </w:rPr>
              <w:t xml:space="preserve">Chapter Mapping JSON — the LO Handoff carries all competency data; the Chapter Summary carries all content data; the mapping JSON adds nothing that is not already in one of these two inputs</w:t>
            </w:r>
          </w:p>
          <w:p>
            <w:pPr>
              <w:pStyle w:val="ListParagraph"/>
              <w:numPr>
                <w:ilvl w:val="0"/>
                <w:numId w:val="2"/>
              </w:numPr>
              <w:spacing w:before="0" w:after="60"/>
            </w:pPr>
            <w:r>
              <w:rPr>
                <w:rFonts w:ascii="Arial" w:cs="Arial" w:eastAsia="Arial" w:hAnsi="Arial"/>
                <w:color w:val="2C3E50"/>
                <w:sz w:val="19"/>
                <w:szCs w:val="19"/>
              </w:rPr>
              <w:t xml:space="preserve">Pedagogy document — governs instructional delivery, not assessment design</w:t>
            </w:r>
          </w:p>
          <w:p>
            <w:pPr>
              <w:pStyle w:val="ListParagraph"/>
              <w:numPr>
                <w:ilvl w:val="0"/>
                <w:numId w:val="2"/>
              </w:numPr>
              <w:spacing w:before="0" w:after="60"/>
            </w:pPr>
            <w:r>
              <w:rPr>
                <w:rFonts w:ascii="Arial" w:cs="Arial" w:eastAsia="Arial" w:hAnsi="Arial"/>
                <w:color w:val="2C3E50"/>
                <w:sz w:val="19"/>
                <w:szCs w:val="19"/>
              </w:rPr>
              <w:t xml:space="preserve">Learning Outcome documents — LOs are outputs of the lesson plan, carried forward in the LO Handoff, not retrieved from external sources</w:t>
            </w:r>
          </w:p>
        </w:tc>
      </w:tr>
    </w:tbl>
    <w:p>
      <w:pPr>
        <w:spacing w:before="0" w:after="100"/>
      </w:pPr>
    </w:p>
    <w:p>
      <w:pPr>
        <w:pBdr>
          <w:bottom w:val="single" w:color="1A6B72" w:sz="4"/>
        </w:pBdr>
        <w:spacing w:before="6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1 · Governing Purpose of Assessment</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generate assessment tasks that test whether the student engaged with the designed activities in the spirit of developing the chapter's mapped competencies. The demonstration required of the student must be observable — a response, a product, a classification, a justification — that a teacher can see, read, or collect in the classroom.</w:t>
            </w:r>
          </w:p>
          <w:p>
            <w:pPr>
              <w:spacing w:before="0" w:after="60"/>
            </w:pPr>
          </w:p>
          <w:p>
            <w:pPr>
              <w:spacing w:before="0" w:after="100"/>
              <w:jc w:val="both"/>
            </w:pPr>
            <w:r>
              <w:rPr>
                <w:rFonts w:ascii="Arial" w:cs="Arial" w:eastAsia="Arial" w:hAnsi="Arial"/>
                <w:color w:val="2C3E50"/>
                <w:sz w:val="19"/>
                <w:szCs w:val="19"/>
              </w:rPr>
              <w:t xml:space="preserve">Every question must be traceable to at least one implied LO from the LO Handoff. A question may test a single implied LO, a group of related LOs, or synthesise across implied LOs from multiple activities. The annotation for every question must explicitly name the implied LO or LOs it tests, cited by period number. A synthesis question drawing on multiple activities must name all contributing period numbers and their implied LOs.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The system MUST NOT generate questions that ask whether a student understood, appreciated, or felt something. Questions must require students to demonstrate understanding through a situation, task, or production — not through introspective self-report.</w:t>
            </w:r>
          </w:p>
          <w:p>
            <w:pPr>
              <w:pStyle w:val="ListParagraph"/>
              <w:numPr>
                <w:ilvl w:val="0"/>
                <w:numId w:val="2"/>
              </w:numPr>
              <w:spacing w:before="0" w:after="60"/>
            </w:pPr>
            <w:r>
              <w:rPr>
                <w:rFonts w:ascii="Arial" w:cs="Arial" w:eastAsia="Arial" w:hAnsi="Arial"/>
                <w:color w:val="2C3E50"/>
                <w:sz w:val="19"/>
                <w:szCs w:val="19"/>
              </w:rPr>
              <w:t xml:space="preserve">The system MUST NOT generate assessment tasks that test content absorption independently of the chapter's competency targets. Every question must serve a mapped competency.</w:t>
            </w:r>
          </w:p>
          <w:p>
            <w:pPr>
              <w:pStyle w:val="ListParagraph"/>
              <w:numPr>
                <w:ilvl w:val="0"/>
                <w:numId w:val="2"/>
              </w:numPr>
              <w:spacing w:before="0" w:after="60"/>
            </w:pPr>
            <w:r>
              <w:rPr>
                <w:rFonts w:ascii="Arial" w:cs="Arial" w:eastAsia="Arial" w:hAnsi="Arial"/>
                <w:color w:val="2C3E50"/>
                <w:sz w:val="19"/>
                <w:szCs w:val="19"/>
              </w:rPr>
              <w:t xml:space="preserve">The system MUST NOT generate tasks that assess teacher performance, lesson plan validity, or the accuracy of the competency-chapter mapping. The student is responsible only for engagement with the activities she was given.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Recall–Understanding–Application–Analysis–Evaluation spectrum applies to all question types and all subject groups. A question at the Recall end tests whether the student can demonstrate a foundational engagement with the activity. Questions at Understanding and Application levels test whether she can explain or use that engagement. Questions at Analysis and Evaluation levels test whether she can examine relationships, weigh evidence, or make a reasoned judgement. All are demonstrations — none are introspective reports.</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2 · Given Inputs — Document Set</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use exactly the following two documents as inputs to assessment generation:</w:t>
            </w:r>
          </w:p>
          <w:p>
            <w:pPr>
              <w:spacing w:before="0" w:after="60"/>
            </w:pP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Input Document</w:t>
                  </w:r>
                </w:p>
              </w:tc>
              <w:tc>
                <w:tcPr>
                  <w:tcW w:type="dxa" w:w="5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Role in Assessment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LO Handoff (from Lesson Plan Constitution)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Period number, period duration, chapter section, activity summary, implied LO, C-code, CG, and weight for every activity in the lesson plan. Determines which competencies are assessed, at what weight, and — critically — what each question must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Chapter Summary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Structured content summary mirroring every textbook heading. Grounds every question and distractor in actual textbook content. Without the chapter summary, questions float free of the textbook.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i/>
                      <w:iCs/>
                      <w:color w:val="7F8C8D"/>
                      <w:sz w:val="19"/>
                      <w:szCs w:val="19"/>
                    </w:rPr>
                    <w:t xml:space="preserve">Curricular Goals document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NOT an input. The LO Handoff carries C-code and weight for every activity. Reading the CG document enables backward derivation of questions from competency definitions, bypassing the implied LOs — the primary failure mode this architecture is designed to prevent.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i/>
                      <w:iCs/>
                      <w:color w:val="7F8C8D"/>
                      <w:sz w:val="19"/>
                      <w:szCs w:val="19"/>
                    </w:rPr>
                    <w:t xml:space="preserve">Chapter Mapping JSON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NOT an input. The LO Handoff carries all competency data. The Chapter Summary carries all content data. The mapping JSON adds nothing that is not already present in one of these two inputs.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i/>
                      <w:iCs/>
                      <w:color w:val="7F8C8D"/>
                      <w:sz w:val="19"/>
                      <w:szCs w:val="19"/>
                    </w:rPr>
                    <w:t xml:space="preserve">Pedagogy document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NOT an input. Pedagogical approach governs instructional delivery. It does not govern assessment design.</w:t>
                  </w:r>
                </w:p>
              </w:tc>
            </w:tr>
          </w:tbl>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The system MUST NOT retrieve or reference the CG document, the Chapter Mapping JSON, or the Pedagogy document. Each of these exclusions is a structural guarantee that assessment questions derive from implied LOs, not from competency definitions or mapping justifications.</w:t>
            </w:r>
          </w:p>
          <w:p>
            <w:pPr>
              <w:pStyle w:val="ListParagraph"/>
              <w:numPr>
                <w:ilvl w:val="0"/>
                <w:numId w:val="2"/>
              </w:numPr>
              <w:spacing w:before="0" w:after="60"/>
            </w:pPr>
            <w:r>
              <w:rPr>
                <w:rFonts w:ascii="Arial" w:cs="Arial" w:eastAsia="Arial" w:hAnsi="Arial"/>
                <w:color w:val="2C3E50"/>
                <w:sz w:val="19"/>
                <w:szCs w:val="19"/>
              </w:rPr>
              <w:t xml:space="preserve">The system MUST NOT retrieve Learning Outcome documents — LOs are outputs of the lesson plan, carried forward in the LO Handoff, not retrieved from external 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Chapter Summary is essential — not supplementary. Without it the assessment generator cannot ground questions in actual textbook content. The LO Handoff tells the generator what to test. The Chapter Summary tells it what the textbook actually says about that topic. Both are required. Neither alone is sufficient.</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3 · Executability Boundary</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Every assessment task generated by the system MUST satisfy all three of the following conditions:</w:t>
            </w:r>
          </w:p>
          <w:p>
            <w:pPr>
              <w:pStyle w:val="ListParagraph"/>
              <w:numPr>
                <w:ilvl w:val="0"/>
                <w:numId w:val="2"/>
              </w:numPr>
              <w:spacing w:before="0" w:after="60"/>
            </w:pPr>
            <w:r>
              <w:rPr>
                <w:rFonts w:ascii="Arial" w:cs="Arial" w:eastAsia="Arial" w:hAnsi="Arial"/>
                <w:color w:val="2C3E50"/>
                <w:sz w:val="19"/>
                <w:szCs w:val="19"/>
              </w:rPr>
              <w:t xml:space="preserve">Completable within a single classroom session</w:t>
            </w:r>
          </w:p>
          <w:p>
            <w:pPr>
              <w:pStyle w:val="ListParagraph"/>
              <w:numPr>
                <w:ilvl w:val="0"/>
                <w:numId w:val="2"/>
              </w:numPr>
              <w:spacing w:before="0" w:after="60"/>
            </w:pPr>
            <w:r>
              <w:rPr>
                <w:rFonts w:ascii="Arial" w:cs="Arial" w:eastAsia="Arial" w:hAnsi="Arial"/>
                <w:color w:val="2C3E50"/>
                <w:sz w:val="19"/>
                <w:szCs w:val="19"/>
              </w:rPr>
              <w:t xml:space="preserve">Involves no coordination outside the classroom — no visits, no external speakers, no community involvement</w:t>
            </w:r>
          </w:p>
          <w:p>
            <w:pPr>
              <w:pStyle w:val="ListParagraph"/>
              <w:numPr>
                <w:ilvl w:val="0"/>
                <w:numId w:val="2"/>
              </w:numPr>
              <w:spacing w:before="0" w:after="60"/>
            </w:pPr>
            <w:r>
              <w:rPr>
                <w:rFonts w:ascii="Arial" w:cs="Arial" w:eastAsia="Arial" w:hAnsi="Arial"/>
                <w:color w:val="2C3E50"/>
                <w:sz w:val="19"/>
                <w:szCs w:val="19"/>
              </w:rPr>
              <w:t xml:space="preserve">Produces a student output the teacher can observe or collect in the same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NOT generate multi-session projects, field visits, artefact creation requiring craft materials, or tasks requiring advance coordination with parties outside the classroom. These are out of scope regardless of their pedagogical merit.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Preparation for assessment tasks — printing materials, preparing sources or data tables, setting up discussion prompts — may be done outside the session by the teacher, administrative staff, or students. The executability boundary applies to the assessment session itself, not to preparation.</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4 · Weight-Driven Assessment Architecture</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structure the assessment using competency weight as the sole architectural governor. The weight assigned to each competency in the LO Handoff prescribes the question types permitted, the minimum number of questions, and the annotation depth for that competency. The system fills a weight-determined template — it does not design the template.</w:t>
            </w:r>
          </w:p>
          <w:p>
            <w:pPr>
              <w:spacing w:before="0" w:after="60"/>
            </w:pP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226"/>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Weight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Question Types Permitted</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Minimum Questions</w:t>
                  </w:r>
                </w:p>
              </w:tc>
              <w:tc>
                <w:tcPr>
                  <w:tcW w:type="dxa" w:w="2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Annotation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Central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MCQ with diagnostic distractors + Short CR + Extended CR + One open task from subject-group menu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2 MCQs + 1 Short CR + 1 Extended CR + 1 Open Task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Full: LO citation, competency link, purpose, distractor meanings, differentiation note, oral follow-up prompt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Substantive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MCQ with diagnostic distractors + Short CR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2 MCQs + 1 Short CR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Standard: LO citation, competency link, purpose, distractor meanings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Present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MCQ with diagnostic distractors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2 MCQs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Minimal: LO citation, competency link, distractor meanings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Incidental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Not assessed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None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None</w:t>
                  </w:r>
                </w:p>
              </w:tc>
            </w:tr>
          </w:tbl>
          <w:p>
            <w:pPr>
              <w:spacing w:before="0" w:after="60"/>
            </w:pPr>
          </w:p>
          <w:p>
            <w:pPr>
              <w:spacing w:before="0" w:after="100"/>
              <w:jc w:val="both"/>
            </w:pPr>
            <w:r>
              <w:rPr>
                <w:rFonts w:ascii="Arial" w:cs="Arial" w:eastAsia="Arial" w:hAnsi="Arial"/>
                <w:color w:val="2C3E50"/>
                <w:sz w:val="19"/>
                <w:szCs w:val="19"/>
              </w:rPr>
              <w:t xml:space="preserve">The assessment is uncapped in total length. A chapter with a high aggregate competency weight produces a longer assessment than a chapter with low aggregate weight. This is honest: the assessment length reflects the chapter's genuine competency density.</w:t>
            </w:r>
          </w:p>
          <w:p>
            <w:pPr>
              <w:spacing w:before="0" w:after="60"/>
            </w:pPr>
          </w:p>
          <w:p>
            <w:pPr>
              <w:spacing w:before="0" w:after="100"/>
              <w:jc w:val="both"/>
            </w:pPr>
            <w:r>
              <w:rPr>
                <w:rFonts w:ascii="Arial" w:cs="Arial" w:eastAsia="Arial" w:hAnsi="Arial"/>
                <w:color w:val="2C3E50"/>
                <w:sz w:val="19"/>
                <w:szCs w:val="19"/>
              </w:rPr>
              <w:t xml:space="preserve">Competency weight is expressed in the user-facing output as Central, Substantive, or Present. Weight numbers (3, 2, 1) are used internally in the LO Handoff and this constitution only. They must never appear in the generated assessment or annotation layer.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The system MUST NOT derive question format from the implied LO type. Multiple question formats can test the same LO. Format is prescribed by weight — not inferred from content.</w:t>
            </w:r>
          </w:p>
          <w:p>
            <w:pPr>
              <w:pStyle w:val="ListParagraph"/>
              <w:numPr>
                <w:ilvl w:val="0"/>
                <w:numId w:val="2"/>
              </w:numPr>
              <w:spacing w:before="0" w:after="60"/>
            </w:pPr>
            <w:r>
              <w:rPr>
                <w:rFonts w:ascii="Arial" w:cs="Arial" w:eastAsia="Arial" w:hAnsi="Arial"/>
                <w:color w:val="2C3E50"/>
                <w:sz w:val="19"/>
                <w:szCs w:val="19"/>
              </w:rPr>
              <w:t xml:space="preserve">The system MUST NOT assess incidental competencies. They are noted in the JSON for completeness only.</w:t>
            </w:r>
          </w:p>
          <w:p>
            <w:pPr>
              <w:pStyle w:val="ListParagraph"/>
              <w:numPr>
                <w:ilvl w:val="0"/>
                <w:numId w:val="2"/>
              </w:numPr>
              <w:spacing w:before="0" w:after="60"/>
            </w:pPr>
            <w:r>
              <w:rPr>
                <w:rFonts w:ascii="Arial" w:cs="Arial" w:eastAsia="Arial" w:hAnsi="Arial"/>
                <w:color w:val="2C3E50"/>
                <w:sz w:val="19"/>
                <w:szCs w:val="19"/>
              </w:rPr>
              <w:t xml:space="preserve">The system MUST NOT apply a cap to total assessment length. The uncapped principle is deliberate: more competencies, larger the assessment.</w:t>
            </w:r>
          </w:p>
          <w:p>
            <w:pPr>
              <w:pStyle w:val="ListParagraph"/>
              <w:numPr>
                <w:ilvl w:val="0"/>
                <w:numId w:val="2"/>
              </w:numPr>
              <w:spacing w:before="0" w:after="60"/>
            </w:pPr>
            <w:r>
              <w:rPr>
                <w:rFonts w:ascii="Arial" w:cs="Arial" w:eastAsia="Arial" w:hAnsi="Arial"/>
                <w:color w:val="2C3E50"/>
                <w:sz w:val="19"/>
                <w:szCs w:val="19"/>
              </w:rPr>
              <w:t xml:space="preserve">The system MUST NOT show weight numbers (3, 2, 1) in any user-facing output. Use Central, Substantive, Present exclusively.</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5 · Open Task Cap and Assignment Rule</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generate exactly one open task per assessment, regardless of the number of Central competencies present. The open task slot is assigned using the following sequential decision rule:</w:t>
            </w:r>
          </w:p>
          <w:p>
            <w:pPr>
              <w:spacing w:before="0" w:after="40"/>
            </w:pPr>
          </w:p>
          <w:p>
            <w:pPr>
              <w:spacing w:before="0" w:after="100"/>
              <w:jc w:val="both"/>
            </w:pPr>
            <w:r>
              <w:rPr>
                <w:rFonts w:ascii="Arial" w:cs="Arial" w:eastAsia="Arial" w:hAnsi="Arial"/>
                <w:color w:val="2C3E50"/>
                <w:sz w:val="19"/>
                <w:szCs w:val="19"/>
              </w:rPr>
              <w:t xml:space="preserve">Step 1 — Maximum LO count: The system MUST count the number of implied LOs in the LO Handoff associated with each Central competency. The open task slot is assigned to the Central competency with the greatest number of implied LOs. This competency has the broadest activity surface across the lesson plan and is therefore the richest and most natural candidate for the open task.</w:t>
            </w:r>
          </w:p>
          <w:p>
            <w:pPr>
              <w:spacing w:before="0" w:after="40"/>
            </w:pPr>
          </w:p>
          <w:p>
            <w:pPr>
              <w:spacing w:before="0" w:after="100"/>
              <w:jc w:val="both"/>
            </w:pPr>
            <w:r>
              <w:rPr>
                <w:rFonts w:ascii="Arial" w:cs="Arial" w:eastAsia="Arial" w:hAnsi="Arial"/>
                <w:color w:val="2C3E50"/>
                <w:sz w:val="19"/>
                <w:szCs w:val="19"/>
              </w:rPr>
              <w:t xml:space="preserve">Step 2 — Tiebreaker: If two or more Central competencies have an equal number of implied LOs, the open task slot is assigned to the Central competency that appears first in the LO Handoff.</w:t>
            </w:r>
          </w:p>
          <w:p>
            <w:pPr>
              <w:spacing w:before="0" w:after="40"/>
            </w:pPr>
          </w:p>
          <w:p>
            <w:pPr>
              <w:spacing w:before="0" w:after="100"/>
              <w:jc w:val="both"/>
            </w:pPr>
            <w:r>
              <w:rPr>
                <w:rFonts w:ascii="Arial" w:cs="Arial" w:eastAsia="Arial" w:hAnsi="Arial"/>
                <w:color w:val="2C3E50"/>
                <w:sz w:val="19"/>
                <w:szCs w:val="19"/>
              </w:rPr>
              <w:t xml:space="preserve">All remaining Central competencies — those not assigned the open task slot — receive an additional extended constructed response in place of the open task.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one open task cap prevents time unpredictability in a single assessment session even when multiple Central competencies are present. The extended constructed response is a genuine substitute — it preserves the depth and demonstration demand of a Central question within a predictable time envelope. The LO-count assignment rule ensures the open task is given to the competency most thoroughly developed in the lesson plan, maximising the naturalness and richness of the task generated.</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6 · Recall–Understanding–Application–Analysis–Evaluation Spectrum</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position every generated question on the Recall–Understanding–Application–Analysis–Evaluation spectrum and state that position in the annotation. The spectrum is valid across all three stages (Preparatory, Middle, Secondary) and all four subject groups.</w:t>
            </w:r>
          </w:p>
          <w:p>
            <w:pPr>
              <w:spacing w:before="0" w:after="40"/>
            </w:pPr>
          </w:p>
          <w:p>
            <w:pPr>
              <w:spacing w:before="0" w:after="100"/>
              <w:jc w:val="both"/>
            </w:pPr>
            <w:r>
              <w:rPr>
                <w:rFonts w:ascii="Arial" w:cs="Arial" w:eastAsia="Arial" w:hAnsi="Arial"/>
                <w:color w:val="2C3E50"/>
                <w:sz w:val="19"/>
                <w:szCs w:val="19"/>
              </w:rPr>
              <w:t xml:space="preserve">Stage-level calibration — which part of the spectrum is appropriate for this chapter and grade — is inherited from the LO Handoff. The chapter content and lesson plan have already constrained this. The Assessment Constitution does not re-adjudicate stage-level demands.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NOT independently retrieve stage-level learning outcome documents to recalibrate question demand. Calibration is given through the LO Handoff. Retrieving additional documents risks contradicting the lesson plan's established calibration.</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7 · MCQ Distractor Design</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Every MCQ generated by the system MUST have exactly three distractors (four options total). Each distractor must be diagnostically intentional — representing one of the following specific, nameable engagement failures:</w:t>
            </w:r>
          </w:p>
          <w:p>
            <w:pPr>
              <w:pStyle w:val="ListParagraph"/>
              <w:numPr>
                <w:ilvl w:val="0"/>
                <w:numId w:val="2"/>
              </w:numPr>
              <w:spacing w:before="0" w:after="60"/>
            </w:pPr>
            <w:r>
              <w:rPr>
                <w:rFonts w:ascii="Arial" w:cs="Arial" w:eastAsia="Arial" w:hAnsi="Arial"/>
                <w:color w:val="2C3E50"/>
                <w:sz w:val="19"/>
                <w:szCs w:val="19"/>
              </w:rPr>
              <w:t xml:space="preserve">A misconception about the content of the chapter section from which the LO was drawn</w:t>
            </w:r>
          </w:p>
          <w:p>
            <w:pPr>
              <w:pStyle w:val="ListParagraph"/>
              <w:numPr>
                <w:ilvl w:val="0"/>
                <w:numId w:val="2"/>
              </w:numPr>
              <w:spacing w:before="0" w:after="60"/>
            </w:pPr>
            <w:r>
              <w:rPr>
                <w:rFonts w:ascii="Arial" w:cs="Arial" w:eastAsia="Arial" w:hAnsi="Arial"/>
                <w:color w:val="2C3E50"/>
                <w:sz w:val="19"/>
                <w:szCs w:val="19"/>
              </w:rPr>
              <w:t xml:space="preserve">A confusion between two concepts present in the same chapter</w:t>
            </w:r>
          </w:p>
          <w:p>
            <w:pPr>
              <w:pStyle w:val="ListParagraph"/>
              <w:numPr>
                <w:ilvl w:val="0"/>
                <w:numId w:val="2"/>
              </w:numPr>
              <w:spacing w:before="0" w:after="60"/>
            </w:pPr>
            <w:r>
              <w:rPr>
                <w:rFonts w:ascii="Arial" w:cs="Arial" w:eastAsia="Arial" w:hAnsi="Arial"/>
                <w:color w:val="2C3E50"/>
                <w:sz w:val="19"/>
                <w:szCs w:val="19"/>
              </w:rPr>
              <w:t xml:space="preserve">Recall of a related but incorrect detail from the same chapter section</w:t>
            </w:r>
          </w:p>
          <w:p>
            <w:pPr>
              <w:spacing w:before="0" w:after="40"/>
            </w:pPr>
          </w:p>
          <w:p>
            <w:pPr>
              <w:spacing w:before="0" w:after="100"/>
              <w:jc w:val="both"/>
            </w:pPr>
            <w:r>
              <w:rPr>
                <w:rFonts w:ascii="Arial" w:cs="Arial" w:eastAsia="Arial" w:hAnsi="Arial"/>
                <w:color w:val="2C3E50"/>
                <w:sz w:val="19"/>
                <w:szCs w:val="19"/>
              </w:rPr>
              <w:t xml:space="preserve">The annotation for every MCQ must name what each distractor indicates — what it tells the teacher about the nature of the student's engagement failure if that option is chosen.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The system MUST NOT use true/false format. Minimum three options are required.</w:t>
            </w:r>
          </w:p>
          <w:p>
            <w:pPr>
              <w:pStyle w:val="ListParagraph"/>
              <w:numPr>
                <w:ilvl w:val="0"/>
                <w:numId w:val="2"/>
              </w:numPr>
              <w:spacing w:before="0" w:after="60"/>
            </w:pPr>
            <w:r>
              <w:rPr>
                <w:rFonts w:ascii="Arial" w:cs="Arial" w:eastAsia="Arial" w:hAnsi="Arial"/>
                <w:color w:val="2C3E50"/>
                <w:sz w:val="19"/>
                <w:szCs w:val="19"/>
              </w:rPr>
              <w:t xml:space="preserve">The system MUST NOT generate distractors that are obviously implausible, arbitrary wrong answers, or content from outside the chapter. Every distractor must be content-grounded and diagnostically meaningful.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A wrong answer in a well-designed MCQ is diagnostic information, not noise. The annotation layer transforms each wrong answer into a professional signal for the teacher — what the student was thinking, where their engagement broke down, and what follow-up might address it.</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8 · Open Task Subject-Group Menu</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select the open task format exclusively from the subject-group menu below. The system selects from the menu — it does not define the menu or introduce formats outside it. The selection must be justified in the annotation: one sentence stating why this format is the most natural demonstration vehicle for the specific implied LO generating the open task slot.</w:t>
            </w:r>
          </w:p>
          <w:p>
            <w:pPr>
              <w:spacing w:before="0" w:after="60"/>
            </w:pP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Subject Group</w:t>
                  </w:r>
                </w:p>
              </w:tc>
              <w:tc>
                <w:tcPr>
                  <w:tcW w:type="dxa" w:w="54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Valid Open Task Formats (Session-Completable)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Social Sciences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Comparison table · Cause-effect map · Annotated map or diagram · Structured discussion prompt with written output · Source analysis task (2–3 structured questions on a provided short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Science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Data interpretation task (provided table or graph) · Classification or sorting task with justification · Procedure evaluation task (identify flaw, suggest improvement) · Diagram completion and annotation · Predict-and-explain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Mathematics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Multi-step problem in unfamiliar real-world context · Error analysis task (identify and correct a worked error) · Estimation and justification task · Pattern generalisation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Languages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Short writing task in specified form · Text transformation task (summarise, change register, convert form) · Structured discussion prompt with written position statement · Close reading task on a short unfamiliar passage</w:t>
                  </w:r>
                </w:p>
              </w:tc>
            </w:tr>
          </w:tbl>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before="0" w:after="60"/>
            </w:pPr>
            <w:r>
              <w:rPr>
                <w:rFonts w:ascii="Arial" w:cs="Arial" w:eastAsia="Arial" w:hAnsi="Arial"/>
                <w:color w:val="2C3E50"/>
                <w:sz w:val="19"/>
                <w:szCs w:val="19"/>
              </w:rPr>
              <w:t xml:space="preserve">The system MUST NOT select an open task format from outside the subject-group menu, regardless of its pedagogical merit.</w:t>
            </w:r>
          </w:p>
          <w:p>
            <w:pPr>
              <w:pStyle w:val="ListParagraph"/>
              <w:numPr>
                <w:ilvl w:val="0"/>
                <w:numId w:val="2"/>
              </w:numPr>
              <w:spacing w:before="0" w:after="60"/>
            </w:pPr>
            <w:r>
              <w:rPr>
                <w:rFonts w:ascii="Arial" w:cs="Arial" w:eastAsia="Arial" w:hAnsi="Arial"/>
                <w:color w:val="2C3E50"/>
                <w:sz w:val="19"/>
                <w:szCs w:val="19"/>
              </w:rPr>
              <w:t xml:space="preserve">The system MUST NOT select a format for variety alone. The format must be the most natural demonstration vehicle for the specific LO. The annotation must make this case explicitly.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annotation for the open task must include a note that the teacher may substitute a different format from the same subject-group menu if her classroom context makes an alternative more practical. The menu governs the AI — not the teacher.</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9 · Annotation Layer</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produce an annotation for every generated question. The annotation is a professional guidance layer for the teacher — not visible to students, revealed on demand via click-to-reveal in the UI. The annotation scales in depth with competency weight and MUST include an LO citation at every weight level:</w:t>
            </w:r>
          </w:p>
          <w:p>
            <w:pPr>
              <w:spacing w:before="0" w:after="60"/>
            </w:pPr>
          </w:p>
          <w:p>
            <w:pPr>
              <w:spacing w:before="0" w:after="100"/>
              <w:jc w:val="both"/>
            </w:pPr>
            <w:r>
              <w:rPr>
                <w:rFonts w:ascii="Arial" w:cs="Arial" w:eastAsia="Arial" w:hAnsi="Arial"/>
                <w:b/>
                <w:bCs/>
                <w:color w:val="2C3E50"/>
                <w:sz w:val="19"/>
                <w:szCs w:val="19"/>
              </w:rPr>
              <w:t xml:space="preserve">Central — Full annotation:</w:t>
            </w:r>
          </w:p>
          <w:p>
            <w:pPr>
              <w:pStyle w:val="ListParagraph"/>
              <w:numPr>
                <w:ilvl w:val="0"/>
                <w:numId w:val="2"/>
              </w:numPr>
              <w:spacing w:before="0" w:after="60"/>
            </w:pPr>
            <w:r>
              <w:rPr>
                <w:rFonts w:ascii="Arial" w:cs="Arial" w:eastAsia="Arial" w:hAnsi="Arial"/>
                <w:color w:val="2C3E50"/>
                <w:sz w:val="19"/>
                <w:szCs w:val="19"/>
              </w:rPr>
              <w:t xml:space="preserve">LO citation: period number(s) and implied LO text from the LO Handoff that this question tests. For synthesis questions drawing on multiple activities, all contributing period numbers and implied LOs must be named.</w:t>
            </w:r>
          </w:p>
          <w:p>
            <w:pPr>
              <w:pStyle w:val="ListParagraph"/>
              <w:numPr>
                <w:ilvl w:val="0"/>
                <w:numId w:val="2"/>
              </w:numPr>
              <w:spacing w:before="0" w:after="60"/>
            </w:pPr>
            <w:r>
              <w:rPr>
                <w:rFonts w:ascii="Arial" w:cs="Arial" w:eastAsia="Arial" w:hAnsi="Arial"/>
                <w:color w:val="2C3E50"/>
                <w:sz w:val="19"/>
                <w:szCs w:val="19"/>
              </w:rPr>
              <w:t xml:space="preserve">Competency link: C-code and plain-language statement of what the competency requires</w:t>
            </w:r>
          </w:p>
          <w:p>
            <w:pPr>
              <w:pStyle w:val="ListParagraph"/>
              <w:numPr>
                <w:ilvl w:val="0"/>
                <w:numId w:val="2"/>
              </w:numPr>
              <w:spacing w:before="0" w:after="60"/>
            </w:pPr>
            <w:r>
              <w:rPr>
                <w:rFonts w:ascii="Arial" w:cs="Arial" w:eastAsia="Arial" w:hAnsi="Arial"/>
                <w:color w:val="2C3E50"/>
                <w:sz w:val="19"/>
                <w:szCs w:val="19"/>
              </w:rPr>
              <w:t xml:space="preserve">Purpose: what this question is testing and why it is the appropriate demonstration for this LO</w:t>
            </w:r>
          </w:p>
          <w:p>
            <w:pPr>
              <w:pStyle w:val="ListParagraph"/>
              <w:numPr>
                <w:ilvl w:val="0"/>
                <w:numId w:val="2"/>
              </w:numPr>
              <w:spacing w:before="0" w:after="60"/>
            </w:pPr>
            <w:r>
              <w:rPr>
                <w:rFonts w:ascii="Arial" w:cs="Arial" w:eastAsia="Arial" w:hAnsi="Arial"/>
                <w:color w:val="2C3E50"/>
                <w:sz w:val="19"/>
                <w:szCs w:val="19"/>
              </w:rPr>
              <w:t xml:space="preserve">Distractor meanings: what each wrong answer indicates about the student's engagement failure</w:t>
            </w:r>
          </w:p>
          <w:p>
            <w:pPr>
              <w:pStyle w:val="ListParagraph"/>
              <w:numPr>
                <w:ilvl w:val="0"/>
                <w:numId w:val="2"/>
              </w:numPr>
              <w:spacing w:before="0" w:after="60"/>
            </w:pPr>
            <w:r>
              <w:rPr>
                <w:rFonts w:ascii="Arial" w:cs="Arial" w:eastAsia="Arial" w:hAnsi="Arial"/>
                <w:color w:val="2C3E50"/>
                <w:sz w:val="19"/>
                <w:szCs w:val="19"/>
              </w:rPr>
              <w:t xml:space="preserve">Differentiation note: what a genuine engagement response looks like from a student who received differentiated delivery — and when a partial written response warrants an oral follow-up</w:t>
            </w:r>
          </w:p>
          <w:p>
            <w:pPr>
              <w:pStyle w:val="ListParagraph"/>
              <w:numPr>
                <w:ilvl w:val="0"/>
                <w:numId w:val="2"/>
              </w:numPr>
              <w:spacing w:before="0" w:after="60"/>
            </w:pPr>
            <w:r>
              <w:rPr>
                <w:rFonts w:ascii="Arial" w:cs="Arial" w:eastAsia="Arial" w:hAnsi="Arial"/>
                <w:color w:val="2C3E50"/>
                <w:sz w:val="19"/>
                <w:szCs w:val="19"/>
              </w:rPr>
              <w:t xml:space="preserve">Oral follow-up prompt: a suggested question the teacher can pose if a written response is ambiguous</w:t>
            </w:r>
          </w:p>
          <w:p>
            <w:pPr>
              <w:spacing w:before="0" w:after="60"/>
            </w:pPr>
          </w:p>
          <w:p>
            <w:pPr>
              <w:spacing w:before="0" w:after="100"/>
              <w:jc w:val="both"/>
            </w:pPr>
            <w:r>
              <w:rPr>
                <w:rFonts w:ascii="Arial" w:cs="Arial" w:eastAsia="Arial" w:hAnsi="Arial"/>
                <w:b/>
                <w:bCs/>
                <w:color w:val="2C3E50"/>
                <w:sz w:val="19"/>
                <w:szCs w:val="19"/>
              </w:rPr>
              <w:t xml:space="preserve">Substantive — Standard annotation:</w:t>
            </w:r>
          </w:p>
          <w:p>
            <w:pPr>
              <w:pStyle w:val="ListParagraph"/>
              <w:numPr>
                <w:ilvl w:val="0"/>
                <w:numId w:val="2"/>
              </w:numPr>
              <w:spacing w:before="0" w:after="60"/>
            </w:pPr>
            <w:r>
              <w:rPr>
                <w:rFonts w:ascii="Arial" w:cs="Arial" w:eastAsia="Arial" w:hAnsi="Arial"/>
                <w:color w:val="2C3E50"/>
                <w:sz w:val="19"/>
                <w:szCs w:val="19"/>
              </w:rPr>
              <w:t xml:space="preserve">LO citation, competency link, purpose, distractor meanings</w:t>
            </w:r>
          </w:p>
          <w:p>
            <w:pPr>
              <w:spacing w:before="0" w:after="60"/>
            </w:pPr>
          </w:p>
          <w:p>
            <w:pPr>
              <w:spacing w:before="0" w:after="100"/>
              <w:jc w:val="both"/>
            </w:pPr>
            <w:r>
              <w:rPr>
                <w:rFonts w:ascii="Arial" w:cs="Arial" w:eastAsia="Arial" w:hAnsi="Arial"/>
                <w:b/>
                <w:bCs/>
                <w:color w:val="2C3E50"/>
                <w:sz w:val="19"/>
                <w:szCs w:val="19"/>
              </w:rPr>
              <w:t xml:space="preserve">Present — Minimal annotation:</w:t>
            </w:r>
          </w:p>
          <w:p>
            <w:pPr>
              <w:pStyle w:val="ListParagraph"/>
              <w:numPr>
                <w:ilvl w:val="0"/>
                <w:numId w:val="2"/>
              </w:numPr>
              <w:spacing w:before="0" w:after="60"/>
            </w:pPr>
            <w:r>
              <w:rPr>
                <w:rFonts w:ascii="Arial" w:cs="Arial" w:eastAsia="Arial" w:hAnsi="Arial"/>
                <w:color w:val="2C3E50"/>
                <w:sz w:val="19"/>
                <w:szCs w:val="19"/>
              </w:rPr>
              <w:t xml:space="preserve">LO citation, competency link, distractor meanings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NOT omit the annotation for any generated question. The annotation is a required output of every question generated, produced automatically whether or not the teacher explicitly requests it.</w:t>
            </w:r>
          </w:p>
          <w:p>
            <w:pPr>
              <w:spacing w:before="0" w:after="40"/>
            </w:pPr>
          </w:p>
          <w:p>
            <w:pPr>
              <w:spacing w:before="0" w:after="100"/>
              <w:jc w:val="both"/>
            </w:pPr>
            <w:r>
              <w:rPr>
                <w:rFonts w:ascii="Arial" w:cs="Arial" w:eastAsia="Arial" w:hAnsi="Arial"/>
                <w:color w:val="2C3E50"/>
                <w:sz w:val="19"/>
                <w:szCs w:val="19"/>
              </w:rPr>
              <w:t xml:space="preserve">The system MUST NOT omit the LO citation field from any annotation at any weight level. The LO citation is the primary traceability mechanism that connects each question to the forward-derived activity chain. Its absence makes the assessment unauditable.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LO citation is what distinguishes a question that tests a competency directly (reverse derivation) from a question that tests what the activity produced (forward derivation). The teacher can verify the chain herself: she reads the LO citation, finds that period in the lesson plan, reads the activity, and sees why this question follows from it. This traceability is the annotation layer's most important function.</w:t>
            </w:r>
          </w:p>
        </w:tc>
      </w:tr>
    </w:tbl>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 10 · Scope Boundary</w:t>
            </w:r>
          </w:p>
        </w:tc>
        <w:tc>
          <w:tcPr>
            <w:tcW w:type="dxa" w:w="7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val="false"/>
                <w:bCs w:val="false"/>
                <w:color w:val="FFFFFF"/>
                <w:sz w:val="19"/>
                <w:szCs w:val="19"/>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MANDATE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generate chapter-scoped formative assessment only. The assessment produced under this constitution is one component of a teacher's professional toolkit for a single chapter — not a comprehensive evaluation of student achievement, not a summative certification instrument, and not a whole-school reporting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PROHIBITION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color w:val="2C3E50"/>
                <w:sz w:val="19"/>
                <w:szCs w:val="19"/>
              </w:rPr>
              <w:t xml:space="preserve">The system MUST NOT generate the following — they are explicitly outside scope:</w:t>
            </w:r>
          </w:p>
          <w:p>
            <w:pPr>
              <w:pStyle w:val="ListParagraph"/>
              <w:numPr>
                <w:ilvl w:val="0"/>
                <w:numId w:val="2"/>
              </w:numPr>
              <w:spacing w:before="0" w:after="60"/>
            </w:pPr>
            <w:r>
              <w:rPr>
                <w:rFonts w:ascii="Arial" w:cs="Arial" w:eastAsia="Arial" w:hAnsi="Arial"/>
                <w:color w:val="2C3E50"/>
                <w:sz w:val="19"/>
                <w:szCs w:val="19"/>
              </w:rPr>
              <w:t xml:space="preserve">Summative assessments, term-end tests, or Board examination preparation materials</w:t>
            </w:r>
          </w:p>
          <w:p>
            <w:pPr>
              <w:pStyle w:val="ListParagraph"/>
              <w:numPr>
                <w:ilvl w:val="0"/>
                <w:numId w:val="2"/>
              </w:numPr>
              <w:spacing w:before="0" w:after="60"/>
            </w:pPr>
            <w:r>
              <w:rPr>
                <w:rFonts w:ascii="Arial" w:cs="Arial" w:eastAsia="Arial" w:hAnsi="Arial"/>
                <w:color w:val="2C3E50"/>
                <w:sz w:val="19"/>
                <w:szCs w:val="19"/>
              </w:rPr>
              <w:t xml:space="preserve">Holistic Progress Card inputs — multi-dimensional, cross-subject instruments not appropriate at chapter level</w:t>
            </w:r>
          </w:p>
          <w:p>
            <w:pPr>
              <w:pStyle w:val="ListParagraph"/>
              <w:numPr>
                <w:ilvl w:val="0"/>
                <w:numId w:val="2"/>
              </w:numPr>
              <w:spacing w:before="0" w:after="60"/>
            </w:pPr>
            <w:r>
              <w:rPr>
                <w:rFonts w:ascii="Arial" w:cs="Arial" w:eastAsia="Arial" w:hAnsi="Arial"/>
                <w:color w:val="2C3E50"/>
                <w:sz w:val="19"/>
                <w:szCs w:val="19"/>
              </w:rPr>
              <w:t xml:space="preserve">Multi-session projects, portfolios, or tasks requiring external coordination</w:t>
            </w:r>
          </w:p>
          <w:p>
            <w:pPr>
              <w:pStyle w:val="ListParagraph"/>
              <w:numPr>
                <w:ilvl w:val="0"/>
                <w:numId w:val="2"/>
              </w:numPr>
              <w:spacing w:before="0" w:after="60"/>
            </w:pPr>
            <w:r>
              <w:rPr>
                <w:rFonts w:ascii="Arial" w:cs="Arial" w:eastAsia="Arial" w:hAnsi="Arial"/>
                <w:color w:val="2C3E50"/>
                <w:sz w:val="19"/>
                <w:szCs w:val="19"/>
              </w:rPr>
              <w:t xml:space="preserve">Individual student tracking or profiling across chapters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0"/>
            </w:pPr>
            <w:r>
              <w:rPr>
                <w:rFonts w:ascii="Arial" w:cs="Arial" w:eastAsia="Arial" w:hAnsi="Arial"/>
                <w:b/>
                <w:bCs/>
                <w:color w:val="1A6B72"/>
                <w:sz w:val="19"/>
                <w:szCs w:val="19"/>
              </w:rPr>
              <w:t xml:space="preserve">NOTE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Aruvi is not a platform for ideal pedagogy in ideal conditions. It is a platform for defensible, competency-aligned, executable pedagogy in the conditions that actually exist in Indian schools. The assessment it generates is the floor that every teacher can reach — reliably, within a single session, with full competency documentation. Schools with resources and vision build above it.</w:t>
            </w:r>
          </w:p>
        </w:tc>
      </w:tr>
    </w:tbl>
    <w:p>
      <w:pPr>
        <w:spacing w:before="0" w:after="100"/>
      </w:pPr>
    </w:p>
    <w:p>
      <w:pPr>
        <w:pBdr>
          <w:bottom w:val="single" w:color="1A6B72" w:sz="4"/>
        </w:pBdr>
        <w:spacing w:before="60" w:after="60"/>
      </w:pPr>
    </w:p>
    <w:p>
      <w:pPr>
        <w:spacing w:before="0" w:after="100"/>
      </w:pPr>
    </w:p>
    <w:p>
      <w:pPr>
        <w:pStyle w:val="Heading1"/>
        <w:spacing w:before="280" w:after="140"/>
      </w:pPr>
      <w:r>
        <w:rPr>
          <w:rFonts w:ascii="Arial" w:cs="Arial" w:eastAsia="Arial" w:hAnsi="Arial"/>
          <w:b/>
          <w:bCs/>
          <w:color w:val="2C3E50"/>
          <w:sz w:val="24"/>
          <w:szCs w:val="24"/>
        </w:rPr>
        <w:t xml:space="preserve">Rule Reference Summary</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Rule</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Title</w:t>
            </w:r>
          </w:p>
        </w:tc>
        <w:tc>
          <w:tcPr>
            <w:tcW w:type="dxa" w:w="5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Core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Governing Purpose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Every question must test one or more implied LOs from the LO Handoff, cited by period number in the annotation. Observable demonstration only — not cognitive states, not content absorption, not teacher performance.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Given Inputs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LO Handoff + Chapter Summary only. CG document, Chapter Mapping JSON, and Pedagogy document are explicitly excluded — each exclusion is a structural guarantee against backward derivation.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Executability Boundary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Every task: single session, no external coordination, observable output collectible in the same session.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Weight-Driven Architecture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Competency weight prescribes question type, count, and annotation depth. Central / Substantive / Present labels used throughout — never weight numbers in user-facing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Open Task Cap</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One open task per assessment. Assigned to Central competency with greatest implied LO count. Additional Central competencies receive extended constructed response instead.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R–U–Ap–An–E Spectrum</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Every question positioned on spectrum. Stage calibration inherited from LO Handoff — not re-adjudicated here.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MCQ Distractor Design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Three diagnostically intentional distractors per MCQ. Each names a specific engagement failure. No true/false format.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Open Task Menu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Format selected from subject-group menu only. Selection justified in annotation. Teacher may substitute any other menu format.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Annotation Layer</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Scales with weight: Full (Central), Standard (Substantive), Minimal (Present). LO citation mandatory at all weight levels. Click-to-reveal. Not visible to students.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C3E50"/>
                <w:sz w:val="19"/>
                <w:szCs w:val="19"/>
              </w:rPr>
              <w:t xml:space="preserve">Scope Boundary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2C3E50"/>
                <w:sz w:val="19"/>
                <w:szCs w:val="19"/>
              </w:rPr>
              <w:t xml:space="preserve">Chapter-scoped formative only. Summative assessment, HPC, multi-session projects, and individual student tracking are out of scope.</w:t>
            </w:r>
          </w:p>
        </w:tc>
      </w:tr>
    </w:tbl>
    <w:p>
      <w:pPr>
        <w:spacing w:before="0" w:after="100"/>
      </w:pPr>
    </w:p>
    <w:p>
      <w:pPr>
        <w:pBdr>
          <w:bottom w:val="single" w:color="1A6B72" w:sz="4"/>
        </w:pBdr>
        <w:spacing w:before="60" w:after="60"/>
      </w:pPr>
    </w:p>
    <w:p>
      <w:pPr>
        <w:spacing w:before="0" w:after="100"/>
      </w:pPr>
    </w:p>
    <w:p>
      <w:pPr>
        <w:pStyle w:val="Heading1"/>
        <w:spacing w:before="280" w:after="140"/>
      </w:pPr>
      <w:r>
        <w:rPr>
          <w:rFonts w:ascii="Arial" w:cs="Arial" w:eastAsia="Arial" w:hAnsi="Arial"/>
          <w:b/>
          <w:bCs/>
          <w:color w:val="2C3E50"/>
          <w:sz w:val="24"/>
          <w:szCs w:val="24"/>
        </w:rPr>
        <w:t xml:space="preserve">Three-Constitution Architecture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Chapter Mapping Constitution</w:t>
            </w:r>
          </w:p>
        </w:tc>
        <w:tc>
          <w:tcPr>
            <w:tcW w:type="dxa" w:w="3009"/>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Lesson Plan Constitution</w:t>
            </w:r>
          </w:p>
        </w:tc>
        <w:tc>
          <w:tcPr>
            <w:tcW w:type="dxa" w:w="3009"/>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top"/>
          </w:tcPr>
          <w:p>
            <w:r>
              <w:rPr>
                <w:rFonts w:ascii="Arial" w:cs="Arial" w:eastAsia="Arial" w:hAnsi="Arial"/>
                <w:b/>
                <w:bCs/>
                <w:color w:val="FFFFFF"/>
                <w:sz w:val="19"/>
                <w:szCs w:val="19"/>
              </w:rPr>
              <w:t xml:space="preserve">Assessment Constitution (this document)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b/>
                <w:bCs/>
                <w:color w:val="2C3E50"/>
                <w:sz w:val="19"/>
                <w:szCs w:val="19"/>
              </w:rPr>
              <w:t xml:space="preserve">Reads:</w:t>
            </w:r>
          </w:p>
          <w:p>
            <w:pPr>
              <w:pStyle w:val="ListParagraph"/>
              <w:numPr>
                <w:ilvl w:val="0"/>
                <w:numId w:val="2"/>
              </w:numPr>
              <w:spacing w:before="0" w:after="60"/>
            </w:pPr>
            <w:r>
              <w:rPr>
                <w:rFonts w:ascii="Arial" w:cs="Arial" w:eastAsia="Arial" w:hAnsi="Arial"/>
                <w:color w:val="2C3E50"/>
                <w:sz w:val="19"/>
                <w:szCs w:val="19"/>
              </w:rPr>
              <w:t xml:space="preserve">NCERT chapter text</w:t>
            </w:r>
          </w:p>
          <w:p>
            <w:pPr>
              <w:pStyle w:val="ListParagraph"/>
              <w:numPr>
                <w:ilvl w:val="0"/>
                <w:numId w:val="2"/>
              </w:numPr>
              <w:spacing w:before="0" w:after="60"/>
            </w:pPr>
            <w:r>
              <w:rPr>
                <w:rFonts w:ascii="Arial" w:cs="Arial" w:eastAsia="Arial" w:hAnsi="Arial"/>
                <w:color w:val="2C3E50"/>
                <w:sz w:val="19"/>
                <w:szCs w:val="19"/>
              </w:rPr>
              <w:t xml:space="preserve">CG document (stage + subject)</w:t>
            </w:r>
          </w:p>
          <w:p>
            <w:pPr>
              <w:spacing w:before="0" w:after="40"/>
            </w:pPr>
          </w:p>
          <w:p>
            <w:pPr>
              <w:spacing w:before="0" w:after="100"/>
              <w:jc w:val="both"/>
            </w:pPr>
            <w:r>
              <w:rPr>
                <w:rFonts w:ascii="Arial" w:cs="Arial" w:eastAsia="Arial" w:hAnsi="Arial"/>
                <w:b/>
                <w:bCs/>
                <w:color w:val="2C3E50"/>
                <w:sz w:val="19"/>
                <w:szCs w:val="19"/>
              </w:rPr>
              <w:t xml:space="preserve">Produces:</w:t>
            </w:r>
          </w:p>
          <w:p>
            <w:pPr>
              <w:pStyle w:val="ListParagraph"/>
              <w:numPr>
                <w:ilvl w:val="0"/>
                <w:numId w:val="2"/>
              </w:numPr>
              <w:spacing w:before="0" w:after="60"/>
            </w:pPr>
            <w:r>
              <w:rPr>
                <w:rFonts w:ascii="Arial" w:cs="Arial" w:eastAsia="Arial" w:hAnsi="Arial"/>
                <w:color w:val="2C3E50"/>
                <w:sz w:val="19"/>
                <w:szCs w:val="19"/>
              </w:rPr>
              <w:t xml:space="preserve">Competency mapping with weights</w:t>
            </w:r>
          </w:p>
          <w:p>
            <w:pPr>
              <w:pStyle w:val="ListParagraph"/>
              <w:numPr>
                <w:ilvl w:val="0"/>
                <w:numId w:val="2"/>
              </w:numPr>
              <w:spacing w:before="0" w:after="60"/>
            </w:pPr>
            <w:r>
              <w:rPr>
                <w:rFonts w:ascii="Arial" w:cs="Arial" w:eastAsia="Arial" w:hAnsi="Arial"/>
                <w:color w:val="2C3E50"/>
                <w:sz w:val="19"/>
                <w:szCs w:val="19"/>
              </w:rPr>
              <w:t xml:space="preserve">Structured chapter summary</w:t>
            </w:r>
          </w:p>
          <w:p>
            <w:pPr>
              <w:pStyle w:val="ListParagraph"/>
              <w:numPr>
                <w:ilvl w:val="0"/>
                <w:numId w:val="2"/>
              </w:numPr>
              <w:spacing w:before="0" w:after="60"/>
            </w:pPr>
            <w:r>
              <w:rPr>
                <w:rFonts w:ascii="Arial" w:cs="Arial" w:eastAsia="Arial" w:hAnsi="Arial"/>
                <w:color w:val="2C3E50"/>
                <w:sz w:val="19"/>
                <w:szCs w:val="19"/>
              </w:rPr>
              <w:t xml:space="preserve">Incidental competency list</w:t>
            </w:r>
          </w:p>
          <w:p>
            <w:pPr>
              <w:spacing w:before="0" w:after="40"/>
            </w:pPr>
          </w:p>
          <w:p>
            <w:pPr>
              <w:spacing w:before="0" w:after="100"/>
              <w:jc w:val="both"/>
            </w:pPr>
            <w:r>
              <w:rPr>
                <w:rFonts w:ascii="Arial" w:cs="Arial" w:eastAsia="Arial" w:hAnsi="Arial"/>
                <w:i/>
                <w:iCs/>
                <w:color w:val="7F8C8D"/>
                <w:sz w:val="19"/>
                <w:szCs w:val="19"/>
              </w:rPr>
              <w:t xml:space="preserve">Stored permanently. Never regenerated unless textbook changes.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b/>
                <w:bCs/>
                <w:color w:val="2C3E50"/>
                <w:sz w:val="19"/>
                <w:szCs w:val="19"/>
              </w:rPr>
              <w:t xml:space="preserve">Reads:</w:t>
            </w:r>
          </w:p>
          <w:p>
            <w:pPr>
              <w:pStyle w:val="ListParagraph"/>
              <w:numPr>
                <w:ilvl w:val="0"/>
                <w:numId w:val="2"/>
              </w:numPr>
              <w:spacing w:before="0" w:after="60"/>
            </w:pPr>
            <w:r>
              <w:rPr>
                <w:rFonts w:ascii="Arial" w:cs="Arial" w:eastAsia="Arial" w:hAnsi="Arial"/>
                <w:color w:val="2C3E50"/>
                <w:sz w:val="19"/>
                <w:szCs w:val="19"/>
              </w:rPr>
              <w:t xml:space="preserve">Chapter mapping JSON</w:t>
            </w:r>
          </w:p>
          <w:p>
            <w:pPr>
              <w:pStyle w:val="ListParagraph"/>
              <w:numPr>
                <w:ilvl w:val="0"/>
                <w:numId w:val="2"/>
              </w:numPr>
              <w:spacing w:before="0" w:after="60"/>
            </w:pPr>
            <w:r>
              <w:rPr>
                <w:rFonts w:ascii="Arial" w:cs="Arial" w:eastAsia="Arial" w:hAnsi="Arial"/>
                <w:color w:val="2C3E50"/>
                <w:sz w:val="19"/>
                <w:szCs w:val="19"/>
              </w:rPr>
              <w:t xml:space="preserve">Chapter summary</w:t>
            </w:r>
          </w:p>
          <w:p>
            <w:pPr>
              <w:pStyle w:val="ListParagraph"/>
              <w:numPr>
                <w:ilvl w:val="0"/>
                <w:numId w:val="2"/>
              </w:numPr>
              <w:spacing w:before="0" w:after="60"/>
            </w:pPr>
            <w:r>
              <w:rPr>
                <w:rFonts w:ascii="Arial" w:cs="Arial" w:eastAsia="Arial" w:hAnsi="Arial"/>
                <w:color w:val="2C3E50"/>
                <w:sz w:val="19"/>
                <w:szCs w:val="19"/>
              </w:rPr>
              <w:t xml:space="preserve">Pedagogy document (subject + stage)</w:t>
            </w:r>
          </w:p>
          <w:p>
            <w:pPr>
              <w:pStyle w:val="ListParagraph"/>
              <w:numPr>
                <w:ilvl w:val="0"/>
                <w:numId w:val="2"/>
              </w:numPr>
              <w:spacing w:before="0" w:after="60"/>
            </w:pPr>
            <w:r>
              <w:rPr>
                <w:rFonts w:ascii="Arial" w:cs="Arial" w:eastAsia="Arial" w:hAnsi="Arial"/>
                <w:color w:val="2C3E50"/>
                <w:sz w:val="19"/>
                <w:szCs w:val="19"/>
              </w:rPr>
              <w:t xml:space="preserve">Teacher period schedule</w:t>
            </w:r>
          </w:p>
          <w:p>
            <w:pPr>
              <w:spacing w:before="0" w:after="40"/>
            </w:pPr>
          </w:p>
          <w:p>
            <w:pPr>
              <w:spacing w:before="0" w:after="100"/>
              <w:jc w:val="both"/>
            </w:pPr>
            <w:r>
              <w:rPr>
                <w:rFonts w:ascii="Arial" w:cs="Arial" w:eastAsia="Arial" w:hAnsi="Arial"/>
                <w:b/>
                <w:bCs/>
                <w:color w:val="2C3E50"/>
                <w:sz w:val="19"/>
                <w:szCs w:val="19"/>
              </w:rPr>
              <w:t xml:space="preserve">Produces:</w:t>
            </w:r>
          </w:p>
          <w:p>
            <w:pPr>
              <w:pStyle w:val="ListParagraph"/>
              <w:numPr>
                <w:ilvl w:val="0"/>
                <w:numId w:val="2"/>
              </w:numPr>
              <w:spacing w:before="0" w:after="60"/>
            </w:pPr>
            <w:r>
              <w:rPr>
                <w:rFonts w:ascii="Arial" w:cs="Arial" w:eastAsia="Arial" w:hAnsi="Arial"/>
                <w:color w:val="2C3E50"/>
                <w:sz w:val="19"/>
                <w:szCs w:val="19"/>
              </w:rPr>
              <w:t xml:space="preserve">Period-by-period lesson plan</w:t>
            </w:r>
          </w:p>
          <w:p>
            <w:pPr>
              <w:pStyle w:val="ListParagraph"/>
              <w:numPr>
                <w:ilvl w:val="0"/>
                <w:numId w:val="2"/>
              </w:numPr>
              <w:spacing w:before="0" w:after="60"/>
            </w:pPr>
            <w:r>
              <w:rPr>
                <w:rFonts w:ascii="Arial" w:cs="Arial" w:eastAsia="Arial" w:hAnsi="Arial"/>
                <w:color w:val="2C3E50"/>
                <w:sz w:val="19"/>
                <w:szCs w:val="19"/>
              </w:rPr>
              <w:t xml:space="preserve">One implied LO per activity</w:t>
            </w:r>
          </w:p>
          <w:p>
            <w:pPr>
              <w:pStyle w:val="ListParagraph"/>
              <w:numPr>
                <w:ilvl w:val="0"/>
                <w:numId w:val="2"/>
              </w:numPr>
              <w:spacing w:before="0" w:after="60"/>
            </w:pPr>
            <w:r>
              <w:rPr>
                <w:rFonts w:ascii="Arial" w:cs="Arial" w:eastAsia="Arial" w:hAnsi="Arial"/>
                <w:color w:val="2C3E50"/>
                <w:sz w:val="19"/>
                <w:szCs w:val="19"/>
              </w:rPr>
              <w:t xml:space="preserve">Structured LO Handoff (JSON)</w:t>
            </w:r>
          </w:p>
          <w:p>
            <w:pPr>
              <w:spacing w:before="0" w:after="40"/>
            </w:pPr>
          </w:p>
          <w:p>
            <w:pPr>
              <w:spacing w:before="0" w:after="100"/>
              <w:jc w:val="both"/>
            </w:pPr>
            <w:r>
              <w:rPr>
                <w:rFonts w:ascii="Arial" w:cs="Arial" w:eastAsia="Arial" w:hAnsi="Arial"/>
                <w:i/>
                <w:iCs/>
                <w:color w:val="7F8C8D"/>
                <w:sz w:val="19"/>
                <w:szCs w:val="19"/>
              </w:rPr>
              <w:t xml:space="preserve">CG document explicitly excluded — prevents backward derivation from competency definitions.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00"/>
              <w:jc w:val="both"/>
            </w:pPr>
            <w:r>
              <w:rPr>
                <w:rFonts w:ascii="Arial" w:cs="Arial" w:eastAsia="Arial" w:hAnsi="Arial"/>
                <w:b/>
                <w:bCs/>
                <w:color w:val="2C3E50"/>
                <w:sz w:val="19"/>
                <w:szCs w:val="19"/>
              </w:rPr>
              <w:t xml:space="preserve">Reads:</w:t>
            </w:r>
          </w:p>
          <w:p>
            <w:pPr>
              <w:pStyle w:val="ListParagraph"/>
              <w:numPr>
                <w:ilvl w:val="0"/>
                <w:numId w:val="2"/>
              </w:numPr>
              <w:spacing w:before="0" w:after="60"/>
            </w:pPr>
            <w:r>
              <w:rPr>
                <w:rFonts w:ascii="Arial" w:cs="Arial" w:eastAsia="Arial" w:hAnsi="Arial"/>
                <w:color w:val="2C3E50"/>
                <w:sz w:val="19"/>
                <w:szCs w:val="19"/>
              </w:rPr>
              <w:t xml:space="preserve">LO Handoff (from lesson plan)</w:t>
            </w:r>
          </w:p>
          <w:p>
            <w:pPr>
              <w:pStyle w:val="ListParagraph"/>
              <w:numPr>
                <w:ilvl w:val="0"/>
                <w:numId w:val="2"/>
              </w:numPr>
              <w:spacing w:before="0" w:after="60"/>
            </w:pPr>
            <w:r>
              <w:rPr>
                <w:rFonts w:ascii="Arial" w:cs="Arial" w:eastAsia="Arial" w:hAnsi="Arial"/>
                <w:color w:val="2C3E50"/>
                <w:sz w:val="19"/>
                <w:szCs w:val="19"/>
              </w:rPr>
              <w:t xml:space="preserve">Chapter summary</w:t>
            </w:r>
          </w:p>
          <w:p>
            <w:pPr>
              <w:spacing w:before="0" w:after="40"/>
            </w:pPr>
          </w:p>
          <w:p>
            <w:pPr>
              <w:spacing w:before="0" w:after="100"/>
              <w:jc w:val="both"/>
            </w:pPr>
            <w:r>
              <w:rPr>
                <w:rFonts w:ascii="Arial" w:cs="Arial" w:eastAsia="Arial" w:hAnsi="Arial"/>
                <w:b/>
                <w:bCs/>
                <w:color w:val="2C3E50"/>
                <w:sz w:val="19"/>
                <w:szCs w:val="19"/>
              </w:rPr>
              <w:t xml:space="preserve">Produces:</w:t>
            </w:r>
          </w:p>
          <w:p>
            <w:pPr>
              <w:pStyle w:val="ListParagraph"/>
              <w:numPr>
                <w:ilvl w:val="0"/>
                <w:numId w:val="2"/>
              </w:numPr>
              <w:spacing w:before="0" w:after="60"/>
            </w:pPr>
            <w:r>
              <w:rPr>
                <w:rFonts w:ascii="Arial" w:cs="Arial" w:eastAsia="Arial" w:hAnsi="Arial"/>
                <w:color w:val="2C3E50"/>
                <w:sz w:val="19"/>
                <w:szCs w:val="19"/>
              </w:rPr>
              <w:t xml:space="preserve">Weight-structured assessment</w:t>
            </w:r>
          </w:p>
          <w:p>
            <w:pPr>
              <w:pStyle w:val="ListParagraph"/>
              <w:numPr>
                <w:ilvl w:val="0"/>
                <w:numId w:val="2"/>
              </w:numPr>
              <w:spacing w:before="0" w:after="60"/>
            </w:pPr>
            <w:r>
              <w:rPr>
                <w:rFonts w:ascii="Arial" w:cs="Arial" w:eastAsia="Arial" w:hAnsi="Arial"/>
                <w:color w:val="2C3E50"/>
                <w:sz w:val="19"/>
                <w:szCs w:val="19"/>
              </w:rPr>
              <w:t xml:space="preserve">Diagnostically intentional MCQ distractors</w:t>
            </w:r>
          </w:p>
          <w:p>
            <w:pPr>
              <w:pStyle w:val="ListParagraph"/>
              <w:numPr>
                <w:ilvl w:val="0"/>
                <w:numId w:val="2"/>
              </w:numPr>
              <w:spacing w:before="0" w:after="60"/>
            </w:pPr>
            <w:r>
              <w:rPr>
                <w:rFonts w:ascii="Arial" w:cs="Arial" w:eastAsia="Arial" w:hAnsi="Arial"/>
                <w:color w:val="2C3E50"/>
                <w:sz w:val="19"/>
                <w:szCs w:val="19"/>
              </w:rPr>
              <w:t xml:space="preserve">Full annotation layer with LO citation</w:t>
            </w:r>
          </w:p>
          <w:p>
            <w:pPr>
              <w:spacing w:before="0" w:after="40"/>
            </w:pPr>
          </w:p>
          <w:p>
            <w:pPr>
              <w:spacing w:before="0" w:after="100"/>
              <w:jc w:val="both"/>
            </w:pPr>
            <w:r>
              <w:rPr>
                <w:rFonts w:ascii="Arial" w:cs="Arial" w:eastAsia="Arial" w:hAnsi="Arial"/>
                <w:i/>
                <w:iCs/>
                <w:color w:val="7F8C8D"/>
                <w:sz w:val="19"/>
                <w:szCs w:val="19"/>
              </w:rPr>
              <w:t xml:space="preserve">CG document and Chapter Mapping JSON explicitly excluded — questions derive from implied LOs, not competency definitions.</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top"/>
          </w:tcPr>
          <w:p>
            <w:pPr>
              <w:spacing w:before="0" w:after="100"/>
              <w:jc w:val="both"/>
            </w:pPr>
            <w:r>
              <w:rPr>
                <w:rFonts w:ascii="Arial" w:cs="Arial" w:eastAsia="Arial" w:hAnsi="Arial"/>
                <w:i/>
                <w:iCs/>
                <w:color w:val="7F8C8D"/>
                <w:sz w:val="19"/>
                <w:szCs w:val="19"/>
              </w:rPr>
              <w:t xml:space="preserve">The handoff between constitutions is always structured data, never free text. The LO Handoff carries: period number, period duration, chapter section, activity summary, implied LO, C-code, CG, and weight. This ensures each stage receives exactly what it needs and never re-derives what the previous stage already settled. The Assessment Constitution reads only the LO Handoff and the Chapter Summary — no other document is an input to assessment generation.</w:t>
            </w:r>
          </w:p>
        </w:tc>
      </w:tr>
    </w:tbl>
    <w:p>
      <w:pPr>
        <w:spacing w:before="0" w:after="100"/>
      </w:pPr>
    </w:p>
    <w:p>
      <w:pPr>
        <w:pBdr>
          <w:bottom w:val="single" w:color="1A6B72" w:sz="4"/>
        </w:pBdr>
        <w:spacing w:before="60" w:after="60"/>
      </w:pPr>
    </w:p>
    <w:p>
      <w:pPr>
        <w:spacing w:before="100" w:after="0"/>
        <w:jc w:val="center"/>
      </w:pPr>
      <w:r>
        <w:rPr>
          <w:rFonts w:ascii="Arial" w:cs="Arial" w:eastAsia="Arial" w:hAnsi="Arial"/>
          <w:i/>
          <w:iCs/>
          <w:color w:val="7F8C8D"/>
          <w:sz w:val="16"/>
          <w:szCs w:val="16"/>
        </w:rPr>
        <w:t xml:space="preserve">Aruvi · Chapter Assessment Constitution · Version 1.2 · Generic across all subjects and stages · Ten rules · LO Handoff + Chapter Summary as inputs · LO citation mandatory in every annotation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C3E50"/>
      <w:sz w:val="24"/>
      <w:szCs w:val="24"/>
    </w:rPr>
  </w:style>
  <w:style w:type="paragraph" w:styleId="Heading2">
    <w:name w:val="Heading 2"/>
    <w:basedOn w:val="Normal"/>
    <w:next w:val="Normal"/>
    <w:qFormat/>
    <w:pPr>
      <w:spacing w:before="200" w:after="80"/>
      <w:outlineLvl w:val="1"/>
    </w:pPr>
    <w:rPr>
      <w:rFonts w:ascii="Arial" w:cs="Arial" w:eastAsia="Arial" w:hAnsi="Arial"/>
      <w:b/>
      <w:bCs/>
      <w:color w:val="1A6B7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2026-03-21T02:34:18.791Z</dcterms:created>
  <dcterms:modified xsi:type="dcterms:W3CDTF">2026-03-21T02:34:18.792Z</dcterms:modified>
</cp:coreProperties>
</file>

<file path=docProps/custom.xml><?xml version="1.0" encoding="utf-8"?>
<Properties xmlns="http://schemas.openxmlformats.org/officeDocument/2006/custom-properties" xmlns:vt="http://schemas.openxmlformats.org/officeDocument/2006/docPropsVTypes"/>
</file>