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2E75B6"/>
          <w:sz w:val="24"/>
          <w:szCs w:val="24"/>
        </w:rPr>
        <w:t xml:space="preserve">ARUVI  ·  PEDAGOGICAL PLATFORM</w:t>
      </w:r>
    </w:p>
    <w:p>
      <w:pPr>
        <w:spacing w:before="0" w:after="60"/>
      </w:pPr>
      <w:r>
        <w:rPr>
          <w:rFonts w:ascii="Arial" w:cs="Arial" w:eastAsia="Arial" w:hAnsi="Arial"/>
          <w:b/>
          <w:bCs/>
          <w:color w:val="1F4E79"/>
          <w:sz w:val="32"/>
          <w:szCs w:val="32"/>
        </w:rPr>
        <w:t xml:space="preserve">Chapter Assessment Constitution</w:t>
      </w:r>
    </w:p>
    <w:p>
      <w:pPr>
        <w:spacing w:before="0" w:after="40"/>
      </w:pPr>
      <w:r>
        <w:rPr>
          <w:rFonts w:ascii="Arial" w:cs="Arial" w:eastAsia="Arial" w:hAnsi="Arial"/>
          <w:i/>
          <w:iCs/>
          <w:color w:val="595959"/>
          <w:sz w:val="20"/>
          <w:szCs w:val="20"/>
        </w:rPr>
        <w:t xml:space="preserve">Version 1.3  ·  Eleven rules  ·  Generic across all subjects and stages</w:t>
      </w:r>
    </w:p>
    <w:p>
      <w:pPr>
        <w:spacing w:before="0" w:after="200"/>
      </w:pPr>
      <w:r>
        <w:rPr>
          <w:rFonts w:ascii="Arial" w:cs="Arial" w:eastAsia="Arial" w:hAnsi="Arial"/>
          <w:i/>
          <w:iCs/>
          <w:color w:val="595959"/>
          <w:sz w:val="20"/>
          <w:szCs w:val="20"/>
        </w:rPr>
        <w:t xml:space="preserve">Amended: Guide schema replacing annotation layer (A4)  ·  Terminology update: annotation → guide, differentiation → inclusivity (A5)</w:t>
      </w:r>
    </w:p>
    <w:p>
      <w:pPr>
        <w:spacing w:before="160" w:after="80"/>
      </w:pPr>
      <w:r>
        <w:rPr>
          <w:rFonts w:ascii="Arial" w:cs="Arial" w:eastAsia="Arial" w:hAnsi="Arial"/>
          <w:b/>
          <w:bCs/>
          <w:color w:val="1F4E79"/>
          <w:sz w:val="22"/>
          <w:szCs w:val="22"/>
        </w:rPr>
        <w:t xml:space="preserve">What This Constitution Governs</w:t>
      </w:r>
    </w:p>
    <w:p>
      <w:pPr>
        <w:spacing w:before="60" w:after="60"/>
      </w:pPr>
      <w:r>
        <w:rPr>
          <w:rFonts w:ascii="Arial" w:cs="Arial" w:eastAsia="Arial" w:hAnsi="Arial"/>
          <w:sz w:val="20"/>
          <w:szCs w:val="20"/>
        </w:rPr>
        <w:t xml:space="preserve">These rules govern chapter-level formative assessment generation only. They do not govern the chapter mapping process or lesson plan generation, which are completed separately under their own constitutions.</w:t>
      </w:r>
    </w:p>
    <w:p>
      <w:pPr>
        <w:spacing w:before="60" w:after="60"/>
      </w:pPr>
      <w:r>
        <w:rPr>
          <w:rFonts w:ascii="Arial" w:cs="Arial" w:eastAsia="Arial" w:hAnsi="Arial"/>
          <w:sz w:val="20"/>
          <w:szCs w:val="20"/>
        </w:rPr>
        <w:t xml:space="preserve">The assessment generator receives exactly two settled inputs: (1) the LP JSON from the Lesson Plan Constitution — containing, for each period, all LP JSON fields including period number, period duration in minutes, section anchor, activity name, time bands, material, implied LO, C-code, CG, weight, competency text, and visual representation; and (2) the Chapter Summary — the structured content summary of the textbook chapter.</w:t>
      </w:r>
    </w:p>
    <w:p>
      <w:pPr>
        <w:spacing w:before="60" w:after="60"/>
      </w:pPr>
      <w:r>
        <w:rPr>
          <w:rFonts w:ascii="Arial" w:cs="Arial" w:eastAsia="Arial" w:hAnsi="Arial"/>
          <w:sz w:val="20"/>
          <w:szCs w:val="20"/>
        </w:rPr>
        <w:t xml:space="preserve">The governing principle: every assessment question must test one or more implied LOs from the LP JSON. Competency weight governs question type and question count. Guide structure is governed by question type. The implied LOs govern what each question actually tests.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Given Inputs (do not regenerate)</w:t>
            </w:r>
          </w:p>
        </w:tc>
        <w:tc>
          <w:tcPr>
            <w:tcW w:type="dxa" w:w="4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 Outputs</w:t>
            </w:r>
          </w:p>
        </w:tc>
      </w:tr>
      <w:tr>
        <w:tc>
          <w:tcPr>
            <w:tcW w:type="dxa" w:w="46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40" w:after="40"/>
            </w:pPr>
            <w:r>
              <w:rPr>
                <w:rFonts w:ascii="Arial" w:cs="Arial" w:eastAsia="Arial" w:hAnsi="Arial"/>
                <w:sz w:val="19"/>
                <w:szCs w:val="19"/>
              </w:rPr>
              <w:t xml:space="preserve">LP JSON (from Lesson Plan Constitution) — full period array with all fields</w:t>
            </w:r>
          </w:p>
          <w:p>
            <w:pPr>
              <w:spacing w:before="40" w:after="40"/>
            </w:pPr>
            <w:r>
              <w:rPr>
                <w:rFonts w:ascii="Arial" w:cs="Arial" w:eastAsia="Arial" w:hAnsi="Arial"/>
                <w:sz w:val="19"/>
                <w:szCs w:val="19"/>
              </w:rPr>
              <w:t xml:space="preserve">Chapter Summary — structured content summary mirroring textbook headings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pPr>
            <w:r>
              <w:rPr>
                <w:rFonts w:ascii="Arial" w:cs="Arial" w:eastAsia="Arial" w:hAnsi="Arial"/>
                <w:sz w:val="19"/>
                <w:szCs w:val="19"/>
              </w:rPr>
              <w:t xml:space="preserve">Weight-structured Assessment JSON — question types and count prescribed by competency weight</w:t>
            </w:r>
          </w:p>
          <w:p>
            <w:pPr>
              <w:spacing w:before="40" w:after="40"/>
            </w:pPr>
            <w:r>
              <w:rPr>
                <w:rFonts w:ascii="Arial" w:cs="Arial" w:eastAsia="Arial" w:hAnsi="Arial"/>
                <w:sz w:val="19"/>
                <w:szCs w:val="19"/>
              </w:rPr>
              <w:t xml:space="preserve">Every question traceable to one or more implied LOs, cited by period number in the guide</w:t>
            </w:r>
          </w:p>
          <w:p>
            <w:pPr>
              <w:spacing w:before="40" w:after="40"/>
            </w:pPr>
            <w:r>
              <w:rPr>
                <w:rFonts w:ascii="Arial" w:cs="Arial" w:eastAsia="Arial" w:hAnsi="Arial"/>
                <w:sz w:val="19"/>
                <w:szCs w:val="19"/>
              </w:rPr>
              <w:t xml:space="preserve">MCQ options diagnostically intentional — each names a specific engagement failure</w:t>
            </w:r>
          </w:p>
          <w:p>
            <w:pPr>
              <w:spacing w:before="40" w:after="40"/>
            </w:pPr>
            <w:r>
              <w:rPr>
                <w:rFonts w:ascii="Arial" w:cs="Arial" w:eastAsia="Arial" w:hAnsi="Arial"/>
                <w:b/>
                <w:bCs/>
                <w:sz w:val="19"/>
                <w:szCs w:val="19"/>
              </w:rPr>
              <w:t xml:space="preserve">Guide layer on every question conforming to schema defined in Amendment A4</w:t>
            </w:r>
          </w:p>
        </w:tc>
      </w:tr>
    </w:tbl>
    <w:p>
      <w:pPr>
        <w:spacing w:before="80" w:after="80"/>
      </w:pPr>
      <w:r>
        <w:t xml:space="preserve"/>
      </w:r>
    </w:p>
    <w:p>
      <w:pPr>
        <w:spacing w:before="160" w:after="80"/>
      </w:pPr>
      <w:r>
        <w:rPr>
          <w:rFonts w:ascii="Arial" w:cs="Arial" w:eastAsia="Arial" w:hAnsi="Arial"/>
          <w:b/>
          <w:bCs/>
          <w:color w:val="1F4E79"/>
          <w:sz w:val="22"/>
          <w:szCs w:val="22"/>
        </w:rPr>
        <w:t xml:space="preserve">Rules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1  ·  Governing Purpose of Assessment</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generate assessment tasks that test whether the student engaged with the designed activities in the spirit of developing the chapter's mapped competencies. The demonstration required of the student must be observable — a response, a product, a classification, a justification — that a teacher can see, read, or collect in the classroom.
Every question must be traceable to at least one implied LO from the LP JSON. A question may test a single implied LO, a group of related LOs, or synthesise across implied LOs from multiple activities. The guide for every question must explicitly name the implied LO or LOs it tests, cited by period number only.</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generate questions that ask whether a student understood, appreciated, or felt something.
2. The system MUST NOT generate assessment tasks that test content absorption independently of the chapter's competency targets.
3. The system MUST NOT generate tasks that assess teacher performance, lesson plan validity, or the accuracy of the competency-chapter mapping.</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Recall–Understanding–Application–Analysis–Evaluation spectrum applies to all question types and all subject groups. All are demonstrations — none are introspective reports.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2  ·  Given Inputs — Document Set</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use exactly the following two documents as inputs to assessment generation: (1) LP JSON from the Lesson Plan Constitution — serves as both the source of what is being tested (implied LOs) and all competency data (C-code, weight, competency text) for every period; (2) Chapter Summary — grounds every question and option in actual textbook content.</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retrieve or reference the CG document, the Chapter Mapping JSON, or the Pedagogy document.
2. The system MUST NOT retrieve Learning Outcome documents — LOs are outputs of the lesson plan, carried forward in the LP JSON.</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Chapter Summary is essential — not supplementary. The LP JSON tells the generator what to test. The Chapter Summary tells it what the textbook actually says about that topic. Both are required.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3  ·  Executability Boundary</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Every assessment task generated by the system MUST satisfy all three of the following conditions:
1. Completable within a single classroom session
2. Involves no coordination outside the classroom
3. Produces a student output the teacher can observe or collect in the same session</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NOT generate multi-session projects, field visits, artefact creation requiring craft materials, or tasks requiring advance coordination with parties outside the classroom.</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Preparation for assessment tasks — printing materials, preparing source cards — may be done outside the session by the teacher. The executability boundary applies to the assessment session itself, not to preparation.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4  ·  Weight-Driven Assessment Architecture</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structure the assessment using competency weight as the sole architectural governor. The weight assigned to each competency in the LP JSON prescribes the question types permitted and the minimum number of questions for that competency. Guide structure is governed by question type, not by weight. The system fills a weight-determined template — it does not design the template.</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derive question format from the implied LO type. Format is prescribed by weight — not inferred from content.
2. The system MUST NOT assess incidental competencies.
3. The system MUST NOT apply a cap to total assessment length.
4. The system MUST NOT show weight numbers (3, 2, 1) in any user-facing output. Use Central, Substantive, Present exclusively.</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assessment is uncapped in total length. A chapter with high aggregate competency weight produces a longer assessment. This is honest: assessment length reflects the chapter's genuine competency density.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760"/>
      </w:tblGrid>
      <w:tr>
        <w:tc>
          <w:tcPr>
            <w:tcW w:type="dxa" w:w="10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Weight</w:t>
            </w:r>
          </w:p>
        </w:tc>
        <w:tc>
          <w:tcPr>
            <w:tcW w:type="dxa" w:w="28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Question Types Permitted</w:t>
            </w:r>
          </w:p>
        </w:tc>
        <w:tc>
          <w:tcPr>
            <w:tcW w:type="dxa" w:w="18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Minimum Questions</w:t>
            </w:r>
          </w:p>
        </w:tc>
        <w:tc>
          <w:tcPr>
            <w:tcW w:type="dxa" w:w="37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Guide Structure (governed by question type, not weight)</w:t>
            </w:r>
          </w:p>
        </w:tc>
      </w:tr>
      <w:tr>
        <w:tc>
          <w:tcPr>
            <w:tcW w:type="dxa" w:w="10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Central (3)</w:t>
            </w:r>
          </w:p>
        </w:tc>
        <w:tc>
          <w:tcPr>
            <w:tcW w:type="dxa" w:w="28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MCQ with diagnostic options + SCR + ECR + one open task from subject-group menu</w:t>
            </w:r>
          </w:p>
        </w:tc>
        <w:tc>
          <w:tcPr>
            <w:tcW w:type="dxa" w:w="18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2 MCQs + 1 SCR + 1 ECR + 1 Open Task</w:t>
            </w:r>
          </w:p>
        </w:tc>
        <w:tc>
          <w:tcPr>
            <w:tcW w:type="dxa" w:w="376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MCQ: what_each_option_reveals + inclusivity · SCR: expected_elements + inclusivity · ECR: look_for + inclusivity · Open Task: what_this_demonstrates + reading_the_scaffold + strong_vs_weak_markers + inclusivity · All include: learning_outcome (period number)</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Substantive (2)</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MCQ with diagnostic options + SCR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2 MCQs + 1 SCR</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Same as above — guide structure is identical across all weights. Governed by question type only. See Amendment A4.</w:t>
            </w:r>
          </w:p>
        </w:tc>
      </w:tr>
      <w:tr>
        <w:tc>
          <w:tcPr>
            <w:tcW w:type="dxa" w:w="10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Present (1)</w:t>
            </w:r>
          </w:p>
        </w:tc>
        <w:tc>
          <w:tcPr>
            <w:tcW w:type="dxa" w:w="28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MCQ with diagnostic options only</w:t>
            </w:r>
          </w:p>
        </w:tc>
        <w:tc>
          <w:tcPr>
            <w:tcW w:type="dxa" w:w="18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2 MCQs</w:t>
            </w:r>
          </w:p>
        </w:tc>
        <w:tc>
          <w:tcPr>
            <w:tcW w:type="dxa" w:w="376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Same as above — guide structure is identical across all weights. Governed by question type only. See Amendment A4.</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Incidental</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Not assessed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None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None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5  ·  Open Task Cap and Assignment Rule</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generate exactly one open task per assessment, regardless of the number of Central competencies present. The open task slot is assigned using the following sequential decision rule:
Step 1 — Maximum LO count: The system MUST count the number of implied LOs in the LP JSON associated with each Central competency. The open task slot is assigned to the Central competency with the greatest number of implied LOs.
Step 2 — Tiebreaker: If two or more Central competencies have an equal number of implied LOs, the open task slot is assigned to the Central competency that appears first in the LP JSON.
All remaining Central competencies receive an additional ECR in place of the open task.</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one open task cap prevents time unpredictability in a single assessment session. The ECR is a genuine substitute — it preserves depth within a predictable time envelope. The LO-count assignment rule ensures the open task is given to the competency most thoroughly developed in the lesson plan.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6  ·  Recall–Understanding–Application–Analysis–Evaluation Spectrum</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position every generated question on the Recall–Understanding–Application–Analysis–Evaluation spectrum and record that position as the cognitive_demand field in the Assessment JSON. The spectrum is valid across all three stages and all four subject groups.
Stage-level calibration is inherited from the LP JSON. The Assessment Constitution does not re-adjudicate stage-level demands.</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NOT independently retrieve stage-level learning outcome documents to recalibrate question demand. Calibration is given through the LP JSON.</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cognitive_demand must be a single word from: recall | understanding | application | analysis | evaluation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7  ·  MCQ Option Design</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Every MCQ generated by the system MUST have exactly three non-correct options (four options total). Each non-correct option must be diagnostically intentional — representing one of the following specific, nameable engagement failures:
1. A misconception about the content of the chapter section from which the LO was drawn
2. A confusion between two concepts present in the same chapter
3. Recall of a related but incorrect detail from the same chapter section
The guide block for every MCQ must include what_each_option_reveals — stating what choosing each non-correct option indicates about the student's engagement failure.</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use true/false format. Four options minimum.
2. The system MUST NOT generate non-correct options that are obviously implausible, arbitrary, or sourced from outside the chapter. Every option must be content-grounded and diagnostically meaningful.</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A wrong answer in a well-designed MCQ is diagnostic information, not noise. The what_each_option_reveals block transforms each wrong answer into a professional signal — what the student was thinking, where their engagement broke down.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8  ·  Open Task Subject-Group Menu</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select the open task format exclusively from the subject-group menu below. The selection must be justified in the open_task_format.rationale field: one sentence stating why this format is the most natural demonstration vehicle for the specific implied LO generating the open task slot.</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select an open task format from outside the subject-group menu.
2. The system MUST NOT select a format for variety alone. The format must be the most natural demonstration vehicle for the specific LO.</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guide for the open task must note that any other format from the same subject-group menu may be substituted by the teacher if her classroom context makes an alternative more practical. The menu governs the AI — not the teacher.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Subject Group</w:t>
            </w:r>
          </w:p>
        </w:tc>
        <w:tc>
          <w:tcPr>
            <w:tcW w:type="dxa" w:w="73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Valid Open Task Formats (Session-Completable)</w:t>
            </w:r>
          </w:p>
        </w:tc>
      </w:tr>
      <w:tr>
        <w:tc>
          <w:tcPr>
            <w:tcW w:type="dxa" w:w="20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Social Sciences</w:t>
            </w:r>
          </w:p>
        </w:tc>
        <w:tc>
          <w:tcPr>
            <w:tcW w:type="dxa" w:w="736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Comparison table · Cause-effect map · Annotated map or diagram · Structured discussion prompt with written output · Source analysis task (2–3 structured questions on a provided short source)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Science</w:t>
            </w:r>
          </w:p>
        </w:tc>
        <w:tc>
          <w:tcPr>
            <w:tcW w:type="dxa" w:w="7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Data interpretation task (provided table or graph) · Classification or sorting task with justification · Procedure evaluation task (identify flaw, suggest improvement) · Diagram completion and annotation · Predict-and-explain task</w:t>
            </w:r>
          </w:p>
        </w:tc>
      </w:tr>
      <w:tr>
        <w:tc>
          <w:tcPr>
            <w:tcW w:type="dxa" w:w="20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Mathematics</w:t>
            </w:r>
          </w:p>
        </w:tc>
        <w:tc>
          <w:tcPr>
            <w:tcW w:type="dxa" w:w="736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Multi-step problem in unfamiliar real-world context · Error analysis task (identify and correct a worked error) · Estimation and justification task · Pattern generalisation task</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Languages</w:t>
            </w:r>
          </w:p>
        </w:tc>
        <w:tc>
          <w:tcPr>
            <w:tcW w:type="dxa" w:w="7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Short writing task in specified form · Text transformation task (summarise, change register, convert form) · Structured discussion prompt with written position statement · Close reading task on a short unfamiliar passage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9  ·  Guide Layer — Structured JSON</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produce a guide block for every generated question. The guide is a structured JSON object — not prose — and is the primary professional support layer for anyone using the assessment, visible on demand. Guide structure is governed by question type, not by competency weight.
The guide block ALWAYS contains:
1. learning_outcome — period number(s) only (single integer for most question types; array of integers for open task and synthesis questions)
2. question-type core — varies by question type (see below)
3. inclusivity — one to two sentences describing alternative pathways through which different students can demonstrate the same cognitive outcome; present in every question at every weight level
By question type:
• MCQ: what_each_option_reveals — object with one entry per non-correct option label, stating the engagement failure that choosing that option indicates
• SCR: expected_elements — array of strings; each element is a distinct component a complete response should contain
• ECR: look_for — array of strings; each describes a qualitative marker that distinguishes a strong response
• Open Task: what_this_demonstrates + reading_the_scaffold + strong_vs_weak_markers + inclusivity</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omit the guide for any generated question.
2. The system MUST NOT produce the guide as prose. It must be a structured JSON object with named fields.
3. The system MUST NOT include purpose or oral_followup fields. These have been removed from the schema.
4. The system MUST NOT include the full LO text in the guide. Only the period number(s) are included — the full LO text is in the LP JSON and is not duplicated here.
5. The system MUST NOT use the word 'distractor' in any user-facing output. Use what_each_option_reveals consistently.</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learning_outcome field carries only the period number because the LP JSON is the single source of truth for LO text. Anyone needing the full LO text looks it up in the LP JSON by period number. Duplication is avoided.</w:t>
            </w:r>
          </w:p>
        </w:tc>
      </w:tr>
    </w:tbl>
    <w:p>
      <w:pPr>
        <w:spacing w:before="80" w:after="80"/>
      </w:pPr>
      <w:r>
        <w:t xml:space="preserve"/>
      </w:r>
    </w:p>
    <w:p>
      <w:pPr>
        <w:spacing w:before="160" w:after="80"/>
      </w:pPr>
      <w:r>
        <w:rPr>
          <w:rFonts w:ascii="Arial" w:cs="Arial" w:eastAsia="Arial" w:hAnsi="Arial"/>
          <w:b/>
          <w:bCs/>
          <w:color w:val="1F4E79"/>
          <w:sz w:val="22"/>
          <w:szCs w:val="22"/>
        </w:rPr>
        <w:t xml:space="preserve">Amendment A4 — Assessment JSON and Guide Schema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040" w:sz="4"/>
              <w:left w:val="single" w:color="F0C040" w:sz="4"/>
              <w:bottom w:val="single" w:color="F0C040" w:sz="4"/>
              <w:right w:val="single" w:color="F0C040" w:sz="4"/>
            </w:tcBorders>
            <w:shd w:fill="F0C040" w:val="clear"/>
            <w:tcMar>
              <w:top w:type="dxa" w:w="60"/>
              <w:left w:type="dxa" w:w="120"/>
              <w:bottom w:type="dxa" w:w="60"/>
              <w:right w:type="dxa" w:w="120"/>
            </w:tcMar>
          </w:tcPr>
          <w:p>
            <w:r>
              <w:rPr>
                <w:rFonts w:ascii="Arial" w:cs="Arial" w:eastAsia="Arial" w:hAnsi="Arial"/>
                <w:b/>
                <w:bCs/>
                <w:color w:val="FFFFFF"/>
                <w:sz w:val="20"/>
                <w:szCs w:val="20"/>
              </w:rPr>
              <w:t xml:space="preserve">Amendment A4 — Assessment JSON Schema</w:t>
            </w:r>
          </w:p>
        </w:tc>
      </w:tr>
      <w:tr>
        <w:tc>
          <w:tcPr>
            <w:tcW w:type="dxa" w:w="9360"/>
            <w:tcBorders>
              <w:top w:val="single" w:color="F0C040" w:sz="4"/>
              <w:left w:val="single" w:color="F0C040" w:sz="4"/>
              <w:bottom w:val="single" w:color="F0C040" w:sz="4"/>
              <w:right w:val="single" w:color="F0C040" w:sz="4"/>
            </w:tcBorders>
            <w:shd w:fill="FFF2CC" w:val="clear"/>
            <w:tcMar>
              <w:top w:type="dxa" w:w="100"/>
              <w:left w:type="dxa" w:w="160"/>
              <w:bottom w:type="dxa" w:w="100"/>
              <w:right w:type="dxa" w:w="160"/>
            </w:tcMar>
          </w:tcPr>
          <w:p>
            <w:pPr>
              <w:spacing w:before="60" w:after="60"/>
            </w:pPr>
            <w:r>
              <w:rPr>
                <w:rFonts w:ascii="Arial" w:cs="Arial" w:eastAsia="Arial" w:hAnsi="Arial"/>
                <w:sz w:val="20"/>
                <w:szCs w:val="20"/>
              </w:rPr>
              <w:t xml:space="preserve">The system MUST produce the assessment output as a structured JSON object conforming exactly to this schema. The guide block replaces the former annotation layer entirely.</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cognitive_demand must be one of: recall | understanding | application | analysis | evaluation</w:t>
            </w:r>
          </w:p>
          <w:p>
            <w:pPr>
              <w:spacing w:before="60" w:after="60"/>
            </w:pPr>
            <w:r>
              <w:rPr>
                <w:rFonts w:ascii="Arial" w:cs="Arial" w:eastAsia="Arial" w:hAnsi="Arial"/>
                <w:sz w:val="20"/>
                <w:szCs w:val="20"/>
              </w:rPr>
              <w:t xml:space="preserve">visual_representation.type must be one of: map | diagram | graph | number_line | geometric_construction | data_table | biological_diagram — or null if required is false. visual_source must be one of: textbook | generated_svg | external_required | null. svg_content must be a valid SVG string when visual_source is generated_svg, null otherwise.</w:t>
            </w:r>
          </w:p>
          <w:p>
            <w:pPr>
              <w:spacing w:before="60" w:after="60"/>
            </w:pPr>
            <w:r>
              <w:rPr>
                <w:rFonts w:ascii="Arial" w:cs="Arial" w:eastAsia="Arial" w:hAnsi="Arial"/>
                <w:sz w:val="20"/>
                <w:szCs w:val="20"/>
              </w:rPr>
              <w:t xml:space="preserve">learning_outcome is a single integer for MCQ, SCR, ECR; an array of integers for open_task and synthesis questions.</w:t>
            </w:r>
          </w:p>
        </w:tc>
      </w:tr>
    </w:tbl>
    <w:p>
      <w:pPr>
        <w:spacing w:before="80" w:after="80"/>
      </w:pPr>
      <w:r>
        <w:t xml:space="preserve"/>
      </w:r>
    </w:p>
    <w:p>
      <w:pPr>
        <w:spacing w:before="60" w:after="60"/>
      </w:pPr>
      <w:r>
        <w:rPr>
          <w:rFonts w:ascii="Arial" w:cs="Arial" w:eastAsia="Arial" w:hAnsi="Arial"/>
          <w:b/>
          <w:bCs/>
          <w:sz w:val="20"/>
          <w:szCs w:val="20"/>
        </w:rPr>
        <w:t xml:space="preserve">MCQ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"question_type": "MCQ",</w:t>
            </w:r>
          </w:p>
          <w:p>
            <w:pPr>
              <w:spacing w:before="20" w:after="20"/>
            </w:pPr>
            <w:r>
              <w:rPr>
                <w:rFonts w:ascii="Courier New" w:cs="Courier New" w:eastAsia="Courier New" w:hAnsi="Courier New"/>
                <w:color w:val="D4D4D4"/>
                <w:sz w:val="18"/>
                <w:szCs w:val="18"/>
              </w:rPr>
              <w:t xml:space="preserve">  "competency": { "c_code": "string", "competency_text": "string" },</w:t>
            </w:r>
          </w:p>
          <w:p>
            <w:pPr>
              <w:spacing w:before="20" w:after="20"/>
            </w:pPr>
            <w:r>
              <w:rPr>
                <w:rFonts w:ascii="Courier New" w:cs="Courier New" w:eastAsia="Courier New" w:hAnsi="Courier New"/>
                <w:color w:val="D4D4D4"/>
                <w:sz w:val="18"/>
                <w:szCs w:val="18"/>
              </w:rPr>
              <w:t xml:space="preserve">  "cognitive_demand": "string  — recall | understanding | application | analysis | evaluation",</w:t>
            </w:r>
          </w:p>
          <w:p>
            <w:pPr>
              <w:spacing w:before="20" w:after="20"/>
            </w:pPr>
            <w:r>
              <w:rPr>
                <w:rFonts w:ascii="Courier New" w:cs="Courier New" w:eastAsia="Courier New" w:hAnsi="Courier New"/>
                <w:color w:val="D4D4D4"/>
                <w:sz w:val="18"/>
                <w:szCs w:val="18"/>
              </w:rPr>
              <w:t xml:space="preserve">  "visual_representation": { "required": "boolean", "type": "string | null", "visual_source": "textbook | generated_svg | external_required | null", "svg_content": "string | null", "description": "string | null" },</w:t>
            </w:r>
          </w:p>
          <w:p>
            <w:pPr>
              <w:spacing w:before="20" w:after="20"/>
            </w:pPr>
            <w:r>
              <w:rPr>
                <w:rFonts w:ascii="Courier New" w:cs="Courier New" w:eastAsia="Courier New" w:hAnsi="Courier New"/>
                <w:color w:val="D4D4D4"/>
                <w:sz w:val="18"/>
                <w:szCs w:val="18"/>
              </w:rPr>
              <w:t xml:space="preserve">  "question_text": "string",</w:t>
            </w:r>
          </w:p>
          <w:p>
            <w:pPr>
              <w:spacing w:before="20" w:after="20"/>
            </w:pPr>
            <w:r>
              <w:rPr>
                <w:rFonts w:ascii="Courier New" w:cs="Courier New" w:eastAsia="Courier New" w:hAnsi="Courier New"/>
                <w:color w:val="D4D4D4"/>
                <w:sz w:val="18"/>
                <w:szCs w:val="18"/>
              </w:rPr>
              <w:t xml:space="preserve">  "options": [</w:t>
            </w:r>
          </w:p>
          <w:p>
            <w:pPr>
              <w:spacing w:before="20" w:after="20"/>
            </w:pPr>
            <w:r>
              <w:rPr>
                <w:rFonts w:ascii="Courier New" w:cs="Courier New" w:eastAsia="Courier New" w:hAnsi="Courier New"/>
                <w:color w:val="D4D4D4"/>
                <w:sz w:val="18"/>
                <w:szCs w:val="18"/>
              </w:rPr>
              <w:t xml:space="preserve">    { "label": "A", "text": "string", "is_correct": "boolean" },</w:t>
            </w:r>
          </w:p>
          <w:p>
            <w:pPr>
              <w:spacing w:before="20" w:after="20"/>
            </w:pPr>
            <w:r>
              <w:rPr>
                <w:rFonts w:ascii="Courier New" w:cs="Courier New" w:eastAsia="Courier New" w:hAnsi="Courier New"/>
                <w:color w:val="D4D4D4"/>
                <w:sz w:val="18"/>
                <w:szCs w:val="18"/>
              </w:rPr>
              <w:t xml:space="preserve">    { "label": "B", "text": "string", "is_correct": "boolean" },</w:t>
            </w:r>
          </w:p>
          <w:p>
            <w:pPr>
              <w:spacing w:before="20" w:after="20"/>
            </w:pPr>
            <w:r>
              <w:rPr>
                <w:rFonts w:ascii="Courier New" w:cs="Courier New" w:eastAsia="Courier New" w:hAnsi="Courier New"/>
                <w:color w:val="D4D4D4"/>
                <w:sz w:val="18"/>
                <w:szCs w:val="18"/>
              </w:rPr>
              <w:t xml:space="preserve">    { "label": "C", "text": "string", "is_correct": "boolean" },</w:t>
            </w:r>
          </w:p>
          <w:p>
            <w:pPr>
              <w:spacing w:before="20" w:after="20"/>
            </w:pPr>
            <w:r>
              <w:rPr>
                <w:rFonts w:ascii="Courier New" w:cs="Courier New" w:eastAsia="Courier New" w:hAnsi="Courier New"/>
                <w:color w:val="D4D4D4"/>
                <w:sz w:val="18"/>
                <w:szCs w:val="18"/>
              </w:rPr>
              <w:t xml:space="preserve">    { "label": "D", "text": "string", "is_correct": "boolean"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"guide": {</w:t>
            </w:r>
          </w:p>
          <w:p>
            <w:pPr>
              <w:spacing w:before="20" w:after="20"/>
            </w:pPr>
            <w:r>
              <w:rPr>
                <w:rFonts w:ascii="Courier New" w:cs="Courier New" w:eastAsia="Courier New" w:hAnsi="Courier New"/>
                <w:color w:val="D4D4D4"/>
                <w:sz w:val="18"/>
                <w:szCs w:val="18"/>
              </w:rPr>
              <w:t xml:space="preserve">    "learning_outcome": { "period": "integer" },</w:t>
            </w:r>
          </w:p>
          <w:p>
            <w:pPr>
              <w:spacing w:before="20" w:after="20"/>
            </w:pPr>
            <w:r>
              <w:rPr>
                <w:rFonts w:ascii="Courier New" w:cs="Courier New" w:eastAsia="Courier New" w:hAnsi="Courier New"/>
                <w:color w:val="D4D4D4"/>
                <w:sz w:val="18"/>
                <w:szCs w:val="18"/>
              </w:rPr>
              <w:t xml:space="preserve">    "what_each_option_reveals": {</w:t>
            </w:r>
          </w:p>
          <w:p>
            <w:pPr>
              <w:spacing w:before="20" w:after="20"/>
            </w:pPr>
            <w:r>
              <w:rPr>
                <w:rFonts w:ascii="Courier New" w:cs="Courier New" w:eastAsia="Courier New" w:hAnsi="Courier New"/>
                <w:color w:val="D4D4D4"/>
                <w:sz w:val="18"/>
                <w:szCs w:val="18"/>
              </w:rPr>
              <w:t xml:space="preserve">      "A": "string  — engagement failure this option indicates (non-correct options only)",</w:t>
            </w:r>
          </w:p>
          <w:p>
            <w:pPr>
              <w:spacing w:before="20" w:after="20"/>
            </w:pPr>
            <w:r>
              <w:rPr>
                <w:rFonts w:ascii="Courier New" w:cs="Courier New" w:eastAsia="Courier New" w:hAnsi="Courier New"/>
                <w:color w:val="D4D4D4"/>
                <w:sz w:val="18"/>
                <w:szCs w:val="18"/>
              </w:rPr>
              <w:t xml:space="preserve">      "C": "string",</w:t>
            </w:r>
          </w:p>
          <w:p>
            <w:pPr>
              <w:spacing w:before="20" w:after="20"/>
            </w:pPr>
            <w:r>
              <w:rPr>
                <w:rFonts w:ascii="Courier New" w:cs="Courier New" w:eastAsia="Courier New" w:hAnsi="Courier New"/>
                <w:color w:val="D4D4D4"/>
                <w:sz w:val="18"/>
                <w:szCs w:val="18"/>
              </w:rPr>
              <w:t xml:space="preserve">      "D": "string"</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"inclusivity": "string  — alternative pathways to demonstrate same cognitive outcome"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80" w:after="80"/>
      </w:pPr>
      <w:r>
        <w:t xml:space="preserve"/>
      </w:r>
    </w:p>
    <w:p>
      <w:pPr>
        <w:spacing w:before="60" w:after="60"/>
      </w:pPr>
      <w:r>
        <w:rPr>
          <w:rFonts w:ascii="Arial" w:cs="Arial" w:eastAsia="Arial" w:hAnsi="Arial"/>
          <w:b/>
          <w:bCs/>
          <w:sz w:val="20"/>
          <w:szCs w:val="20"/>
        </w:rPr>
        <w:t xml:space="preserve">SCR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"question_type": "SCR",</w:t>
            </w:r>
          </w:p>
          <w:p>
            <w:pPr>
              <w:spacing w:before="20" w:after="20"/>
            </w:pPr>
            <w:r>
              <w:rPr>
                <w:rFonts w:ascii="Courier New" w:cs="Courier New" w:eastAsia="Courier New" w:hAnsi="Courier New"/>
                <w:color w:val="D4D4D4"/>
                <w:sz w:val="18"/>
                <w:szCs w:val="18"/>
              </w:rPr>
              <w:t xml:space="preserve">  "competency": { "c_code": "string", "competency_text": "string" },</w:t>
            </w:r>
          </w:p>
          <w:p>
            <w:pPr>
              <w:spacing w:before="20" w:after="20"/>
            </w:pPr>
            <w:r>
              <w:rPr>
                <w:rFonts w:ascii="Courier New" w:cs="Courier New" w:eastAsia="Courier New" w:hAnsi="Courier New"/>
                <w:color w:val="D4D4D4"/>
                <w:sz w:val="18"/>
                <w:szCs w:val="18"/>
              </w:rPr>
              <w:t xml:space="preserve">  "cognitive_demand": "string",</w:t>
            </w:r>
          </w:p>
          <w:p>
            <w:pPr>
              <w:spacing w:before="20" w:after="20"/>
            </w:pPr>
            <w:r>
              <w:rPr>
                <w:rFonts w:ascii="Courier New" w:cs="Courier New" w:eastAsia="Courier New" w:hAnsi="Courier New"/>
                <w:color w:val="D4D4D4"/>
                <w:sz w:val="18"/>
                <w:szCs w:val="18"/>
              </w:rPr>
              <w:t xml:space="preserve">  "visual_representation": { "required": "boolean", "type": "string | null", "visual_source": "textbook | generated_svg | external_required | null", "svg_content": "string | null", "description": "string | null" },</w:t>
            </w:r>
          </w:p>
          <w:p>
            <w:pPr>
              <w:spacing w:before="20" w:after="20"/>
            </w:pPr>
            <w:r>
              <w:rPr>
                <w:rFonts w:ascii="Courier New" w:cs="Courier New" w:eastAsia="Courier New" w:hAnsi="Courier New"/>
                <w:color w:val="D4D4D4"/>
                <w:sz w:val="18"/>
                <w:szCs w:val="18"/>
              </w:rPr>
              <w:t xml:space="preserve">  "question_text": "string",</w:t>
            </w:r>
          </w:p>
          <w:p>
            <w:pPr>
              <w:spacing w:before="20" w:after="20"/>
            </w:pPr>
            <w:r>
              <w:rPr>
                <w:rFonts w:ascii="Courier New" w:cs="Courier New" w:eastAsia="Courier New" w:hAnsi="Courier New"/>
                <w:color w:val="D4D4D4"/>
                <w:sz w:val="18"/>
                <w:szCs w:val="18"/>
              </w:rPr>
              <w:t xml:space="preserve">  "expected_elements": ["string", "string", "..."],</w:t>
            </w:r>
          </w:p>
          <w:p>
            <w:pPr>
              <w:spacing w:before="20" w:after="20"/>
            </w:pPr>
            <w:r>
              <w:rPr>
                <w:rFonts w:ascii="Courier New" w:cs="Courier New" w:eastAsia="Courier New" w:hAnsi="Courier New"/>
                <w:color w:val="D4D4D4"/>
                <w:sz w:val="18"/>
                <w:szCs w:val="18"/>
              </w:rPr>
              <w:t xml:space="preserve">  "guide": {</w:t>
            </w:r>
          </w:p>
          <w:p>
            <w:pPr>
              <w:spacing w:before="20" w:after="20"/>
            </w:pPr>
            <w:r>
              <w:rPr>
                <w:rFonts w:ascii="Courier New" w:cs="Courier New" w:eastAsia="Courier New" w:hAnsi="Courier New"/>
                <w:color w:val="D4D4D4"/>
                <w:sz w:val="18"/>
                <w:szCs w:val="18"/>
              </w:rPr>
              <w:t xml:space="preserve">    "learning_outcome": { "period": "integer" },</w:t>
            </w:r>
          </w:p>
          <w:p>
            <w:pPr>
              <w:spacing w:before="20" w:after="20"/>
            </w:pPr>
            <w:r>
              <w:rPr>
                <w:rFonts w:ascii="Courier New" w:cs="Courier New" w:eastAsia="Courier New" w:hAnsi="Courier New"/>
                <w:color w:val="D4D4D4"/>
                <w:sz w:val="18"/>
                <w:szCs w:val="18"/>
              </w:rPr>
              <w:t xml:space="preserve">    "inclusivity": "string"</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80" w:after="80"/>
      </w:pPr>
      <w:r>
        <w:t xml:space="preserve"/>
      </w:r>
    </w:p>
    <w:p>
      <w:pPr>
        <w:spacing w:before="60" w:after="60"/>
      </w:pPr>
      <w:r>
        <w:rPr>
          <w:rFonts w:ascii="Arial" w:cs="Arial" w:eastAsia="Arial" w:hAnsi="Arial"/>
          <w:b/>
          <w:bCs/>
          <w:sz w:val="20"/>
          <w:szCs w:val="20"/>
        </w:rPr>
        <w:t xml:space="preserve">ECR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"question_type": "ECR",</w:t>
            </w:r>
          </w:p>
          <w:p>
            <w:pPr>
              <w:spacing w:before="20" w:after="20"/>
            </w:pPr>
            <w:r>
              <w:rPr>
                <w:rFonts w:ascii="Courier New" w:cs="Courier New" w:eastAsia="Courier New" w:hAnsi="Courier New"/>
                <w:color w:val="D4D4D4"/>
                <w:sz w:val="18"/>
                <w:szCs w:val="18"/>
              </w:rPr>
              <w:t xml:space="preserve">  "competency": { "c_code": "string", "competency_text": "string" },</w:t>
            </w:r>
          </w:p>
          <w:p>
            <w:pPr>
              <w:spacing w:before="20" w:after="20"/>
            </w:pPr>
            <w:r>
              <w:rPr>
                <w:rFonts w:ascii="Courier New" w:cs="Courier New" w:eastAsia="Courier New" w:hAnsi="Courier New"/>
                <w:color w:val="D4D4D4"/>
                <w:sz w:val="18"/>
                <w:szCs w:val="18"/>
              </w:rPr>
              <w:t xml:space="preserve">  "cognitive_demand": "string",</w:t>
            </w:r>
          </w:p>
          <w:p>
            <w:pPr>
              <w:spacing w:before="20" w:after="20"/>
            </w:pPr>
            <w:r>
              <w:rPr>
                <w:rFonts w:ascii="Courier New" w:cs="Courier New" w:eastAsia="Courier New" w:hAnsi="Courier New"/>
                <w:color w:val="D4D4D4"/>
                <w:sz w:val="18"/>
                <w:szCs w:val="18"/>
              </w:rPr>
              <w:t xml:space="preserve">  "visual_representation": { "required": "boolean", "type": "string | null", "visual_source": "textbook | generated_svg | external_required | null", "svg_content": "string | null", "description": "string | null" },</w:t>
            </w:r>
          </w:p>
          <w:p>
            <w:pPr>
              <w:spacing w:before="20" w:after="20"/>
            </w:pPr>
            <w:r>
              <w:rPr>
                <w:rFonts w:ascii="Courier New" w:cs="Courier New" w:eastAsia="Courier New" w:hAnsi="Courier New"/>
                <w:color w:val="D4D4D4"/>
                <w:sz w:val="18"/>
                <w:szCs w:val="18"/>
              </w:rPr>
              <w:t xml:space="preserve">  "question_text": "string",</w:t>
            </w:r>
          </w:p>
          <w:p>
            <w:pPr>
              <w:spacing w:before="20" w:after="20"/>
            </w:pPr>
            <w:r>
              <w:rPr>
                <w:rFonts w:ascii="Courier New" w:cs="Courier New" w:eastAsia="Courier New" w:hAnsi="Courier New"/>
                <w:color w:val="D4D4D4"/>
                <w:sz w:val="18"/>
                <w:szCs w:val="18"/>
              </w:rPr>
              <w:t xml:space="preserve">  "look_for": ["string", "string", "..."],</w:t>
            </w:r>
          </w:p>
          <w:p>
            <w:pPr>
              <w:spacing w:before="20" w:after="20"/>
            </w:pPr>
            <w:r>
              <w:rPr>
                <w:rFonts w:ascii="Courier New" w:cs="Courier New" w:eastAsia="Courier New" w:hAnsi="Courier New"/>
                <w:color w:val="D4D4D4"/>
                <w:sz w:val="18"/>
                <w:szCs w:val="18"/>
              </w:rPr>
              <w:t xml:space="preserve">  "guide": {</w:t>
            </w:r>
          </w:p>
          <w:p>
            <w:pPr>
              <w:spacing w:before="20" w:after="20"/>
            </w:pPr>
            <w:r>
              <w:rPr>
                <w:rFonts w:ascii="Courier New" w:cs="Courier New" w:eastAsia="Courier New" w:hAnsi="Courier New"/>
                <w:color w:val="D4D4D4"/>
                <w:sz w:val="18"/>
                <w:szCs w:val="18"/>
              </w:rPr>
              <w:t xml:space="preserve">    "learning_outcome": { "period": "integer" },</w:t>
            </w:r>
          </w:p>
          <w:p>
            <w:pPr>
              <w:spacing w:before="20" w:after="20"/>
            </w:pPr>
            <w:r>
              <w:rPr>
                <w:rFonts w:ascii="Courier New" w:cs="Courier New" w:eastAsia="Courier New" w:hAnsi="Courier New"/>
                <w:color w:val="D4D4D4"/>
                <w:sz w:val="18"/>
                <w:szCs w:val="18"/>
              </w:rPr>
              <w:t xml:space="preserve">    "inclusivity": "string"</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80" w:after="80"/>
      </w:pPr>
      <w:r>
        <w:t xml:space="preserve"/>
      </w:r>
    </w:p>
    <w:p>
      <w:pPr>
        <w:spacing w:before="60" w:after="60"/>
      </w:pPr>
      <w:r>
        <w:rPr>
          <w:rFonts w:ascii="Arial" w:cs="Arial" w:eastAsia="Arial" w:hAnsi="Arial"/>
          <w:b/>
          <w:bCs/>
          <w:sz w:val="20"/>
          <w:szCs w:val="20"/>
        </w:rPr>
        <w:t xml:space="preserve">Open Task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"question_type": "open_task",</w:t>
            </w:r>
          </w:p>
          <w:p>
            <w:pPr>
              <w:spacing w:before="20" w:after="20"/>
            </w:pPr>
            <w:r>
              <w:rPr>
                <w:rFonts w:ascii="Courier New" w:cs="Courier New" w:eastAsia="Courier New" w:hAnsi="Courier New"/>
                <w:color w:val="D4D4D4"/>
                <w:sz w:val="18"/>
                <w:szCs w:val="18"/>
              </w:rPr>
              <w:t xml:space="preserve">  "competency": { "c_code": "string", "competency_text": "string" },</w:t>
            </w:r>
          </w:p>
          <w:p>
            <w:pPr>
              <w:spacing w:before="20" w:after="20"/>
            </w:pPr>
            <w:r>
              <w:rPr>
                <w:rFonts w:ascii="Courier New" w:cs="Courier New" w:eastAsia="Courier New" w:hAnsi="Courier New"/>
                <w:color w:val="D4D4D4"/>
                <w:sz w:val="18"/>
                <w:szCs w:val="18"/>
              </w:rPr>
              <w:t xml:space="preserve">  "cognitive_demand": "string",</w:t>
            </w:r>
          </w:p>
          <w:p>
            <w:pPr>
              <w:spacing w:before="20" w:after="20"/>
            </w:pPr>
            <w:r>
              <w:rPr>
                <w:rFonts w:ascii="Courier New" w:cs="Courier New" w:eastAsia="Courier New" w:hAnsi="Courier New"/>
                <w:color w:val="D4D4D4"/>
                <w:sz w:val="18"/>
                <w:szCs w:val="18"/>
              </w:rPr>
              <w:t xml:space="preserve">  "visual_representation": { "required": "boolean", "type": "string | null", "visual_source": "textbook | generated_svg | external_required | null", "svg_content": "string | null", "description": "string | null" },</w:t>
            </w:r>
          </w:p>
          <w:p>
            <w:pPr>
              <w:spacing w:before="20" w:after="20"/>
            </w:pPr>
            <w:r>
              <w:rPr>
                <w:rFonts w:ascii="Courier New" w:cs="Courier New" w:eastAsia="Courier New" w:hAnsi="Courier New"/>
                <w:color w:val="D4D4D4"/>
                <w:sz w:val="18"/>
                <w:szCs w:val="18"/>
              </w:rPr>
              <w:t xml:space="preserve">  "task_instructions": "string",</w:t>
            </w:r>
          </w:p>
          <w:p>
            <w:pPr>
              <w:spacing w:before="20" w:after="20"/>
            </w:pPr>
            <w:r>
              <w:rPr>
                <w:rFonts w:ascii="Courier New" w:cs="Courier New" w:eastAsia="Courier New" w:hAnsi="Courier New"/>
                <w:color w:val="D4D4D4"/>
                <w:sz w:val="18"/>
                <w:szCs w:val="18"/>
              </w:rPr>
              <w:t xml:space="preserve">  "open_task_format": {</w:t>
            </w:r>
          </w:p>
          <w:p>
            <w:pPr>
              <w:spacing w:before="20" w:after="20"/>
            </w:pPr>
            <w:r>
              <w:rPr>
                <w:rFonts w:ascii="Courier New" w:cs="Courier New" w:eastAsia="Courier New" w:hAnsi="Courier New"/>
                <w:color w:val="D4D4D4"/>
                <w:sz w:val="18"/>
                <w:szCs w:val="18"/>
              </w:rPr>
              <w:t xml:space="preserve">    "format_type": "string  — from subject-group menu only",</w:t>
            </w:r>
          </w:p>
          <w:p>
            <w:pPr>
              <w:spacing w:before="20" w:after="20"/>
            </w:pPr>
            <w:r>
              <w:rPr>
                <w:rFonts w:ascii="Courier New" w:cs="Courier New" w:eastAsia="Courier New" w:hAnsi="Courier New"/>
                <w:color w:val="D4D4D4"/>
                <w:sz w:val="18"/>
                <w:szCs w:val="18"/>
              </w:rPr>
              <w:t xml:space="preserve">    "rationale": "string  — one sentence justifying format selection"</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"scaffold": {</w:t>
            </w:r>
          </w:p>
          <w:p>
            <w:pPr>
              <w:spacing w:before="20" w:after="20"/>
            </w:pPr>
            <w:r>
              <w:rPr>
                <w:rFonts w:ascii="Courier New" w:cs="Courier New" w:eastAsia="Courier New" w:hAnsi="Courier New"/>
                <w:color w:val="D4D4D4"/>
                <w:sz w:val="18"/>
                <w:szCs w:val="18"/>
              </w:rPr>
              <w:t xml:space="preserve">    "provided": "boolean",</w:t>
            </w:r>
          </w:p>
          <w:p>
            <w:pPr>
              <w:spacing w:before="20" w:after="20"/>
            </w:pPr>
            <w:r>
              <w:rPr>
                <w:rFonts w:ascii="Courier New" w:cs="Courier New" w:eastAsia="Courier New" w:hAnsi="Courier New"/>
                <w:color w:val="D4D4D4"/>
                <w:sz w:val="18"/>
                <w:szCs w:val="18"/>
              </w:rPr>
              <w:t xml:space="preserve">    "description": "string | null"</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"guide": {</w:t>
            </w:r>
          </w:p>
          <w:p>
            <w:pPr>
              <w:spacing w:before="20" w:after="20"/>
            </w:pPr>
            <w:r>
              <w:rPr>
                <w:rFonts w:ascii="Courier New" w:cs="Courier New" w:eastAsia="Courier New" w:hAnsi="Courier New"/>
                <w:color w:val="D4D4D4"/>
                <w:sz w:val="18"/>
                <w:szCs w:val="18"/>
              </w:rPr>
              <w:t xml:space="preserve">    "learning_outcome": { "periods": ["integer", "integer", "..."] },</w:t>
            </w:r>
          </w:p>
          <w:p>
            <w:pPr>
              <w:spacing w:before="20" w:after="20"/>
            </w:pPr>
            <w:r>
              <w:rPr>
                <w:rFonts w:ascii="Courier New" w:cs="Courier New" w:eastAsia="Courier New" w:hAnsi="Courier New"/>
                <w:color w:val="D4D4D4"/>
                <w:sz w:val="18"/>
                <w:szCs w:val="18"/>
              </w:rPr>
              <w:t xml:space="preserve">    "what_this_demonstrates": "string  — competency evidence in this artefact format",</w:t>
            </w:r>
          </w:p>
          <w:p>
            <w:pPr>
              <w:spacing w:before="20" w:after="20"/>
            </w:pPr>
            <w:r>
              <w:rPr>
                <w:rFonts w:ascii="Courier New" w:cs="Courier New" w:eastAsia="Courier New" w:hAnsi="Courier New"/>
                <w:color w:val="D4D4D4"/>
                <w:sz w:val="18"/>
                <w:szCs w:val="18"/>
              </w:rPr>
              <w:t xml:space="preserve">    "reading_the_scaffold": "string  — what scaffold use / non-use reveals about the student",</w:t>
            </w:r>
          </w:p>
          <w:p>
            <w:pPr>
              <w:spacing w:before="20" w:after="20"/>
            </w:pPr>
            <w:r>
              <w:rPr>
                <w:rFonts w:ascii="Courier New" w:cs="Courier New" w:eastAsia="Courier New" w:hAnsi="Courier New"/>
                <w:color w:val="D4D4D4"/>
                <w:sz w:val="18"/>
                <w:szCs w:val="18"/>
              </w:rPr>
              <w:t xml:space="preserve">    "strong_vs_weak_markers": "string  — qualitative markers distinguishing strong from weak production",</w:t>
            </w:r>
          </w:p>
          <w:p>
            <w:pPr>
              <w:spacing w:before="20" w:after="20"/>
            </w:pPr>
            <w:r>
              <w:rPr>
                <w:rFonts w:ascii="Courier New" w:cs="Courier New" w:eastAsia="Courier New" w:hAnsi="Courier New"/>
                <w:color w:val="D4D4D4"/>
                <w:sz w:val="18"/>
                <w:szCs w:val="18"/>
              </w:rPr>
              <w:t xml:space="preserve">    "inclusivity": "string"</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80" w:after="80"/>
      </w:pPr>
      <w:r>
        <w:t xml:space="preserve"/>
      </w:r>
    </w:p>
    <w:p>
      <w:pPr>
        <w:spacing w:before="160" w:after="80"/>
      </w:pPr>
      <w:r>
        <w:rPr>
          <w:rFonts w:ascii="Arial" w:cs="Arial" w:eastAsia="Arial" w:hAnsi="Arial"/>
          <w:b/>
          <w:bCs/>
          <w:color w:val="1F4E79"/>
          <w:sz w:val="22"/>
          <w:szCs w:val="22"/>
        </w:rPr>
        <w:t xml:space="preserve">Amendment A5 — Terminology Updates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040" w:sz="4"/>
              <w:left w:val="single" w:color="F0C040" w:sz="4"/>
              <w:bottom w:val="single" w:color="F0C040" w:sz="4"/>
              <w:right w:val="single" w:color="F0C040" w:sz="4"/>
            </w:tcBorders>
            <w:shd w:fill="F0C040" w:val="clear"/>
            <w:tcMar>
              <w:top w:type="dxa" w:w="60"/>
              <w:left w:type="dxa" w:w="120"/>
              <w:bottom w:type="dxa" w:w="60"/>
              <w:right w:type="dxa" w:w="120"/>
            </w:tcMar>
          </w:tcPr>
          <w:p>
            <w:r>
              <w:rPr>
                <w:rFonts w:ascii="Arial" w:cs="Arial" w:eastAsia="Arial" w:hAnsi="Arial"/>
                <w:b/>
                <w:bCs/>
                <w:color w:val="FFFFFF"/>
                <w:sz w:val="20"/>
                <w:szCs w:val="20"/>
              </w:rPr>
              <w:t xml:space="preserve">Amendment A5 — Terminology Updates (A5)</w:t>
            </w:r>
          </w:p>
        </w:tc>
      </w:tr>
      <w:tr>
        <w:tc>
          <w:tcPr>
            <w:tcW w:type="dxa" w:w="9360"/>
            <w:tcBorders>
              <w:top w:val="single" w:color="F0C040" w:sz="4"/>
              <w:left w:val="single" w:color="F0C040" w:sz="4"/>
              <w:bottom w:val="single" w:color="F0C040" w:sz="4"/>
              <w:right w:val="single" w:color="F0C040" w:sz="4"/>
            </w:tcBorders>
            <w:shd w:fill="FFF2CC" w:val="clear"/>
            <w:tcMar>
              <w:top w:type="dxa" w:w="100"/>
              <w:left w:type="dxa" w:w="160"/>
              <w:bottom w:type="dxa" w:w="100"/>
              <w:right w:type="dxa" w:w="160"/>
            </w:tcMar>
          </w:tcPr>
          <w:p>
            <w:pPr>
              <w:spacing w:before="60" w:after="60"/>
            </w:pPr>
            <w:r>
              <w:rPr>
                <w:rFonts w:ascii="Arial" w:cs="Arial" w:eastAsia="Arial" w:hAnsi="Arial"/>
                <w:sz w:val="20"/>
                <w:szCs w:val="20"/>
              </w:rPr>
              <w:t xml:space="preserve">The following terminology changes apply throughout this constitution and all generated outputs:</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annotation  →  guide</w:t>
            </w:r>
          </w:p>
          <w:p>
            <w:pPr>
              <w:spacing w:before="60" w:after="60"/>
            </w:pPr>
            <w:r>
              <w:rPr>
                <w:rFonts w:ascii="Arial" w:cs="Arial" w:eastAsia="Arial" w:hAnsi="Arial"/>
                <w:sz w:val="20"/>
                <w:szCs w:val="20"/>
              </w:rPr>
              <w:t xml:space="preserve">  The word 'annotation' implies side notes. 'Guide' reflects the actual purpose: helping anyone using the assessment understand the question and read the student from their response.</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differentiation note  →  inclusivity</w:t>
            </w:r>
          </w:p>
          <w:p>
            <w:pPr>
              <w:spacing w:before="60" w:after="60"/>
            </w:pPr>
            <w:r>
              <w:rPr>
                <w:rFonts w:ascii="Arial" w:cs="Arial" w:eastAsia="Arial" w:hAnsi="Arial"/>
                <w:sz w:val="20"/>
                <w:szCs w:val="20"/>
              </w:rPr>
              <w:t xml:space="preserve">  'Differentiation' implies labelling students by ability. 'Inclusivity' reflects the actual intent: every classroom has multiple pathways through which different students can demonstrate the same cognitive outcome. Inclusivity is present in every question at every weight level — it is standard practice, not an exception.</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distractor  →  what_each_option_reveals (JSON field) / 'option' (user-facing prose)</w:t>
            </w:r>
          </w:p>
          <w:p>
            <w:pPr>
              <w:spacing w:before="60" w:after="60"/>
            </w:pPr>
            <w:r>
              <w:rPr>
                <w:rFonts w:ascii="Arial" w:cs="Arial" w:eastAsia="Arial" w:hAnsi="Arial"/>
                <w:sz w:val="20"/>
                <w:szCs w:val="20"/>
              </w:rPr>
              <w:t xml:space="preserve">  'Distractor' is an academic term familiar in testing circles but opaque to the broader teacher population. The field name what_each_option_reveals states its purpose directly.</w:t>
            </w:r>
          </w:p>
        </w:tc>
      </w:tr>
    </w:tbl>
    <w:p>
      <w:pPr>
        <w:spacing w:before="80" w:after="80"/>
      </w:pPr>
      <w:r>
        <w:t xml:space="preserve"/>
      </w:r>
    </w:p>
    <w:tbl>
      <w:tblPr>
        <w:tblW w:type="dxa" w:w="9360"/>
        <w:tblBorders>
          <w:top w:val="single" w:color="2E75B6" w:sz="4"/>
          <w:left w:val="single" w:color="2E75B6" w:sz="4"/>
          <w:bottom w:val="single" w:color="2E75B6" w:sz="4"/>
          <w:right w:val="single" w:color="2E75B6" w:sz="4"/>
          <w:insideH w:val="single" w:color="CCCCCC" w:sz="4"/>
          <w:insideV w:val="single" w:color="CCCCCC"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11  ·  Visual Representation in Assessment</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evaluate every question for visual representation need. Set required: true only where the student must read, interpret, complete, or produce a visual to demonstrate the implied LO.</w:t>
            </w:r>
          </w:p>
          <w:p>
            <w:r>
              <w:rPr>
                <w:rFonts w:ascii="Arial" w:cs="Arial" w:eastAsia="Arial" w:hAnsi="Arial"/>
                <w:sz w:val="20"/>
                <w:szCs w:val="20"/>
              </w:rPr>
              <w:t xml:space="preserve">Two cases: (1) Stimulus — question presents a visual the student reads or interprets. description describes it precisely. visual_source: textbook figure → “textbook”; number_line, geometric_construction, data_table, graph, simple diagram, simple biological_diagram → “generated_svg” · SVG generated in svg_content; map, complex biological_diagram, or spatially/anatomically detailed → “external_required” · svg_content: null. (2) Response — open task requires student to produce a visual artefact. required: true · visual_source describes the stimulus or scaffold provided, not what the student produces. Same visual_source logic applies.</w:t>
            </w:r>
          </w:p>
          <w:p>
            <w:r>
              <w:rPr>
                <w:rFonts w:ascii="Arial" w:cs="Arial" w:eastAsia="Arial" w:hAnsi="Arial"/>
                <w:sz w:val="20"/>
                <w:szCs w:val="20"/>
              </w:rPr>
              <w:t xml:space="preserve">Where no visual is required → required: false · all other fields null.</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MUST NOT add visuals to MCQ, SCR, or ECR unless the implied LO explicitly requires reading or interpreting a visual. Text is the predominant medium. 2. MUST NOT generate SVG for map or any visual requiring spatial or anatomical accuracy. 3. MUST NOT leave svg_content null when visual_source is generated_svg — downgrade to external_required with populated description if generation fails. 4. MUST NOT set required: true solely because the corresponding LP period used a visual. The question must independently require it.</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i/>
                <w:iCs/>
                <w:color w:val="444444"/>
              </w:rPr>
              <w:t xml:space="preserve">The threshold is functional necessity. A question answerable from text alone stays text-only. Visual is warranted only where reading, completing, or interpreting it is the demonstration itself.</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10  ·  Scope Boundary</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generate chapter-scoped formative assessment only. The assessment produced under this constitution is one component of a teacher's professional toolkit for a single chapter — not a comprehensive evaluation of student achievement, not a summative certification instrument, and not a whole-school reporting tool.</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NOT generate: summative assessments or Board examination preparation materials; Holistic Progress Card inputs; multi-session projects, portfolios, or tasks requiring external coordination; individual student tracking or profiling across chapters.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Aruvi is not a platform for ideal pedagogy in ideal conditions. It is a platform for defensible, competency-aligned, executable pedagogy in the conditions that actually exist in Indian schools. The assessment it generates is the floor that every teacher can reach — reliably, within a single session, with full competency documentation. Schools with resources and vision build above it.</w:t>
            </w:r>
          </w:p>
        </w:tc>
      </w:tr>
    </w:tbl>
    <w:p>
      <w:pPr>
        <w:spacing w:before="80" w:after="80"/>
      </w:pPr>
      <w:r>
        <w:t xml:space="preserve"/>
      </w:r>
    </w:p>
    <w:p>
      <w:pPr>
        <w:spacing w:before="160" w:after="80"/>
      </w:pPr>
      <w:r>
        <w:rPr>
          <w:rFonts w:ascii="Arial" w:cs="Arial" w:eastAsia="Arial" w:hAnsi="Arial"/>
          <w:b/>
          <w:bCs/>
          <w:color w:val="1F4E79"/>
          <w:sz w:val="22"/>
          <w:szCs w:val="22"/>
        </w:rPr>
        <w:t xml:space="preserve">Rule Reference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Rule</w:t>
            </w:r>
          </w:p>
        </w:tc>
        <w:tc>
          <w:tcPr>
            <w:tcW w:type="dxa" w:w="22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Title</w:t>
            </w:r>
          </w:p>
        </w:tc>
        <w:tc>
          <w:tcPr>
            <w:tcW w:type="dxa" w:w="64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Core Mechanism</w:t>
            </w:r>
          </w:p>
        </w:tc>
      </w:tr>
      <w:tr>
        <w:tc>
          <w:tcPr>
            <w:tcW w:type="dxa" w:w="7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1</w:t>
            </w:r>
          </w:p>
        </w:tc>
        <w:tc>
          <w:tcPr>
            <w:tcW w:type="dxa" w:w="22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Governing Purpose</w:t>
            </w:r>
          </w:p>
        </w:tc>
        <w:tc>
          <w:tcPr>
            <w:tcW w:type="dxa" w:w="646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Every question tests one or more implied LOs from LP JSON, cited by period number in guide. Observable demonstration only.</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Given Inputs</w:t>
            </w:r>
          </w:p>
        </w:tc>
        <w:tc>
          <w:tcPr>
            <w:tcW w:type="dxa" w:w="6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LP JSON + Chapter Summary only. CG document, Chapter Mapping JSON, and Pedagogy document explicitly excluded.</w:t>
            </w:r>
          </w:p>
        </w:tc>
      </w:tr>
      <w:tr>
        <w:tc>
          <w:tcPr>
            <w:tcW w:type="dxa" w:w="7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3</w:t>
            </w:r>
          </w:p>
        </w:tc>
        <w:tc>
          <w:tcPr>
            <w:tcW w:type="dxa" w:w="22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Executability Boundary</w:t>
            </w:r>
          </w:p>
        </w:tc>
        <w:tc>
          <w:tcPr>
            <w:tcW w:type="dxa" w:w="646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Every task: single session, no external coordination, observable output collectible in the same session.</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Weight-Driven Architecture</w:t>
            </w:r>
          </w:p>
        </w:tc>
        <w:tc>
          <w:tcPr>
            <w:tcW w:type="dxa" w:w="6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Weight prescribes question type and count. Guide structure governed by question type. Central / Substantive / Present labels — never weight numbers in user-facing output.</w:t>
            </w:r>
          </w:p>
        </w:tc>
      </w:tr>
      <w:tr>
        <w:tc>
          <w:tcPr>
            <w:tcW w:type="dxa" w:w="7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5</w:t>
            </w:r>
          </w:p>
        </w:tc>
        <w:tc>
          <w:tcPr>
            <w:tcW w:type="dxa" w:w="22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Open Task Cap</w:t>
            </w:r>
          </w:p>
        </w:tc>
        <w:tc>
          <w:tcPr>
            <w:tcW w:type="dxa" w:w="646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One open task per assessment. Assigned to Central competency with greatest implied LO count. Additional Central competencies receive ECR instead.</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R–U–Ap–An–E Spectrum</w:t>
            </w:r>
          </w:p>
        </w:tc>
        <w:tc>
          <w:tcPr>
            <w:tcW w:type="dxa" w:w="6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Every question has a single cognitive_demand field. Stage calibration inherited from LP JSON.</w:t>
            </w:r>
          </w:p>
        </w:tc>
      </w:tr>
      <w:tr>
        <w:tc>
          <w:tcPr>
            <w:tcW w:type="dxa" w:w="7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7</w:t>
            </w:r>
          </w:p>
        </w:tc>
        <w:tc>
          <w:tcPr>
            <w:tcW w:type="dxa" w:w="22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MCQ Option Design</w:t>
            </w:r>
          </w:p>
        </w:tc>
        <w:tc>
          <w:tcPr>
            <w:tcW w:type="dxa" w:w="646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Three diagnostically intentional non-correct options per MCQ. what_each_option_reveals required. No true/false format.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Open Task Menu</w:t>
            </w:r>
          </w:p>
        </w:tc>
        <w:tc>
          <w:tcPr>
            <w:tcW w:type="dxa" w:w="6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Format selected from subject-group menu only. Selection justified in open_task_format.rationale. Teacher may substitute any menu format.</w:t>
            </w:r>
          </w:p>
        </w:tc>
      </w:tr>
      <w:tr>
        <w:tc>
          <w:tcPr>
            <w:tcW w:type="dxa" w:w="7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9</w:t>
            </w:r>
          </w:p>
        </w:tc>
        <w:tc>
          <w:tcPr>
            <w:tcW w:type="dxa" w:w="22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Guide Layer</w:t>
            </w:r>
          </w:p>
        </w:tc>
        <w:tc>
          <w:tcPr>
            <w:tcW w:type="dxa" w:w="646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Structured JSON block on every question. Scales with weight. learning_outcome (period number) + question-type core + inclusivity. Replaces former annotation layer.</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Scope Boundary</w:t>
            </w:r>
          </w:p>
        </w:tc>
        <w:tc>
          <w:tcPr>
            <w:tcW w:type="dxa" w:w="6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Chapter-scoped formative only. Summative assessment, HPC, multi-session projects, and individual student tracking are out of scope.</w:t>
            </w:r>
          </w:p>
        </w:tc>
      </w:tr>
      <w:tr>
        <w:tc>
          <w:tcPr>
            <w:tcW w:type="dxa" w:w="7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11</w:t>
            </w:r>
          </w:p>
        </w:tc>
        <w:tc>
          <w:tcPr>
            <w:tcW w:type="dxa" w:w="22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Visual Representation</w:t>
            </w:r>
          </w:p>
        </w:tc>
        <w:tc>
          <w:tcPr>
            <w:tcW w:type="dxa" w:w="646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Evaluate every question; required only where LO demands it; text remains predominant; generate SVG where feasible; flag external_required where not</w:t>
            </w:r>
          </w:p>
        </w:tc>
      </w:tr>
    </w:tbl>
    <w:p>
      <w:pPr>
        <w:spacing w:before="80" w:after="80"/>
      </w:pPr>
      <w:r>
        <w:t xml:space="preserve"/>
      </w:r>
    </w:p>
    <w:p>
      <w:pPr>
        <w:spacing w:before="60" w:after="60"/>
      </w:pPr>
      <w:r>
        <w:rPr>
          <w:rFonts w:ascii="Arial" w:cs="Arial" w:eastAsia="Arial" w:hAnsi="Arial"/>
          <w:i/>
          <w:iCs/>
          <w:color w:val="444444"/>
          <w:sz w:val="20"/>
          <w:szCs w:val="20"/>
        </w:rPr>
        <w:t xml:space="preserve">Aruvi · Chapter Assessment Constitution · Version 1.3 · Generic across all subjects and stages · Eleven rules · Guide layer replacing annotation · LP JSON as primary input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18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2026-03-24T13:17:14.534Z</dcterms:created>
  <dcterms:modified xsi:type="dcterms:W3CDTF">2026-03-24T13:17:14.535Z</dcterms:modified>
</cp:coreProperties>
</file>

<file path=docProps/custom.xml><?xml version="1.0" encoding="utf-8"?>
<Properties xmlns="http://schemas.openxmlformats.org/officeDocument/2006/custom-properties" xmlns:vt="http://schemas.openxmlformats.org/officeDocument/2006/docPropsVTypes"/>
</file>