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E75B6"/>
          <w:sz w:val="24"/>
          <w:szCs w:val="24"/>
        </w:rPr>
        <w:t xml:space="preserve">ARUVI  ·  PEDAGOGICAL PLATFORM</w:t>
      </w:r>
    </w:p>
    <w:p>
      <w:pPr>
        <w:spacing w:before="0" w:after="60"/>
      </w:pPr>
      <w:r>
        <w:rPr>
          <w:rFonts w:ascii="Arial" w:cs="Arial" w:eastAsia="Arial" w:hAnsi="Arial"/>
          <w:b/>
          <w:bCs/>
          <w:color w:val="1F4E79"/>
          <w:sz w:val="32"/>
          <w:szCs w:val="32"/>
        </w:rPr>
        <w:t xml:space="preserve">Lesson Plan Generation Constitution</w:t>
      </w:r>
    </w:p>
    <w:p>
      <w:pPr>
        <w:spacing w:before="0" w:after="40"/>
      </w:pPr>
      <w:r>
        <w:rPr>
          <w:rFonts w:ascii="Arial" w:cs="Arial" w:eastAsia="Arial" w:hAnsi="Arial"/>
          <w:i/>
          <w:iCs/>
          <w:color w:val="595959"/>
          <w:sz w:val="20"/>
          <w:szCs w:val="20"/>
        </w:rPr>
        <w:t xml:space="preserve">Version 1.3  ·  Eight rules + three amendments  ·  Generic across all subjects and stages</w:t>
      </w:r>
    </w:p>
    <w:p>
      <w:pPr>
        <w:spacing w:before="0" w:after="200"/>
      </w:pPr>
      <w:r>
        <w:rPr>
          <w:rFonts w:ascii="Arial" w:cs="Arial" w:eastAsia="Arial" w:hAnsi="Arial"/>
          <w:i/>
          <w:iCs/>
          <w:color w:val="595959"/>
          <w:sz w:val="20"/>
          <w:szCs w:val="20"/>
        </w:rPr>
        <w:t xml:space="preserve">Amended: multi-row period input (A1)  ·  LO handoff JSON format (A2)  ·  Full LP JSON schema (A3)</w:t>
      </w:r>
    </w:p>
    <w:p>
      <w:pPr>
        <w:spacing w:before="160" w:after="80"/>
      </w:pPr>
      <w:r>
        <w:rPr>
          <w:rFonts w:ascii="Arial" w:cs="Arial" w:eastAsia="Arial" w:hAnsi="Arial"/>
          <w:b/>
          <w:bCs/>
          <w:color w:val="1F4E79"/>
          <w:sz w:val="22"/>
          <w:szCs w:val="22"/>
        </w:rPr>
        <w:t xml:space="preserve">What This Constitution Governs</w:t>
      </w:r>
    </w:p>
    <w:p>
      <w:pPr>
        <w:spacing w:before="60" w:after="60"/>
      </w:pPr>
      <w:r>
        <w:rPr>
          <w:rFonts w:ascii="Arial" w:cs="Arial" w:eastAsia="Arial" w:hAnsi="Arial"/>
          <w:sz w:val="20"/>
          <w:szCs w:val="20"/>
        </w:rPr>
        <w:t xml:space="preserve">These rules govern lesson plan generation only. They do not govern the chapter mapping process, which is completed separately at build time.</w:t>
      </w:r>
    </w:p>
    <w:p>
      <w:pPr>
        <w:spacing w:before="60" w:after="60"/>
      </w:pPr>
      <w:r>
        <w:rPr>
          <w:rFonts w:ascii="Arial" w:cs="Arial" w:eastAsia="Arial" w:hAnsi="Arial"/>
          <w:sz w:val="20"/>
          <w:szCs w:val="20"/>
        </w:rPr>
        <w:t xml:space="preserve">The lesson plan generator receives two settled inputs: (1) the Chapter Mapping document — containing pre-identified competencies with weight scores and a structured chapter summary mirroring every textbook heading; and (2) the NCF Pedagogy document for the subject and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A1 — Multi-Row Period Input</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generator receives the teacher's period schedule as one or more rows, each specifying a period duration in minutes and a count of periods of that duration. The total period count is the sum of all row counts. The total available minutes is the sum of each row's (duration × count) product. Both the total period count and the per-row duration structure are hard constraints — each period in the plan is assigned an activity calibrated to its specific duration.</w:t>
            </w:r>
          </w:p>
        </w:tc>
      </w:tr>
    </w:tbl>
    <w:p>
      <w:pPr>
        <w:spacing w:before="80" w:after="80"/>
      </w:pPr>
      <w:r>
        <w:t xml:space="preserve"/>
      </w:r>
    </w:p>
    <w:p>
      <w:pPr>
        <w:spacing w:before="60" w:after="60"/>
      </w:pPr>
      <w:r>
        <w:rPr>
          <w:rFonts w:ascii="Arial" w:cs="Arial" w:eastAsia="Arial" w:hAnsi="Arial"/>
          <w:sz w:val="20"/>
          <w:szCs w:val="20"/>
        </w:rPr>
        <w:t xml:space="preserve">These inputs are given. The generator does not re-evaluate, re-select, or supplement competencies. It does not retrieve Learning Outcomes. It translates given competencies and given chapter content into a time-constrained period-by-period lesson plan, and produces a structured LP JSON as a required companion output.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Given Inputs (do not regenerate)</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pPr>
            <w:r>
              <w:rPr>
                <w:rFonts w:ascii="Arial" w:cs="Arial" w:eastAsia="Arial" w:hAnsi="Arial"/>
                <w:sz w:val="19"/>
                <w:szCs w:val="19"/>
              </w:rPr>
              <w:t xml:space="preserve">Chapter Mapping document (competencies + weights + structured summary)</w:t>
            </w:r>
          </w:p>
          <w:p>
            <w:pPr>
              <w:spacing w:before="40" w:after="40"/>
            </w:pPr>
            <w:r>
              <w:rPr>
                <w:rFonts w:ascii="Arial" w:cs="Arial" w:eastAsia="Arial" w:hAnsi="Arial"/>
                <w:sz w:val="19"/>
                <w:szCs w:val="19"/>
              </w:rPr>
              <w:t xml:space="preserve">NCF Pedagogy document for subject and stage</w:t>
            </w:r>
          </w:p>
          <w:p>
            <w:pPr>
              <w:spacing w:before="40" w:after="40"/>
            </w:pPr>
            <w:r>
              <w:rPr>
                <w:rFonts w:ascii="Arial" w:cs="Arial" w:eastAsia="Arial" w:hAnsi="Arial"/>
                <w:sz w:val="19"/>
                <w:szCs w:val="19"/>
              </w:rPr>
              <w:t xml:space="preserve">Period schedule: one or more rows of {duration in minutes, period count}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Period-by-period lesson plan (full period budget used for teaching)</w:t>
            </w:r>
          </w:p>
          <w:p>
            <w:pPr>
              <w:spacing w:before="40" w:after="40"/>
            </w:pPr>
            <w:r>
              <w:rPr>
                <w:rFonts w:ascii="Arial" w:cs="Arial" w:eastAsia="Arial" w:hAnsi="Arial"/>
                <w:sz w:val="19"/>
                <w:szCs w:val="19"/>
              </w:rPr>
              <w:t xml:space="preserve">Each activity anchored to a named chapter section</w:t>
            </w:r>
          </w:p>
          <w:p>
            <w:pPr>
              <w:spacing w:before="40" w:after="40"/>
            </w:pPr>
            <w:r>
              <w:rPr>
                <w:rFonts w:ascii="Arial" w:cs="Arial" w:eastAsia="Arial" w:hAnsi="Arial"/>
                <w:sz w:val="19"/>
                <w:szCs w:val="19"/>
              </w:rPr>
              <w:t xml:space="preserve">One implied LO per activity (derived, not retrieved)</w:t>
            </w:r>
          </w:p>
          <w:p>
            <w:pPr>
              <w:spacing w:before="40" w:after="40"/>
            </w:pPr>
            <w:r>
              <w:rPr>
                <w:rFonts w:ascii="Arial" w:cs="Arial" w:eastAsia="Arial" w:hAnsi="Arial"/>
                <w:b/>
                <w:bCs/>
                <w:sz w:val="19"/>
                <w:szCs w:val="19"/>
              </w:rPr>
              <w:t xml:space="preserve">Full LP JSON document (A3) — primary output for display, PDF, and LO Handoff</w:t>
            </w:r>
          </w:p>
        </w:tc>
      </w:tr>
    </w:tbl>
    <w:p>
      <w:pPr>
        <w:spacing w:before="80" w:after="80"/>
      </w:pPr>
      <w:r>
        <w:t xml:space="preserve"/>
      </w:r>
    </w:p>
    <w:p>
      <w:pPr>
        <w:spacing w:before="160" w:after="80"/>
      </w:pPr>
      <w:r>
        <w:rPr>
          <w:rFonts w:ascii="Arial" w:cs="Arial" w:eastAsia="Arial" w:hAnsi="Arial"/>
          <w:b/>
          <w:bCs/>
          <w:color w:val="1F4E79"/>
          <w:sz w:val="22"/>
          <w:szCs w:val="22"/>
        </w:rPr>
        <w:t xml:space="preserve">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  ·  R1  ·  Content-Driven Age Calibration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use the specific vocabulary, examples, and cognitive demand natively present in the Chapter Summary as the primary signal for age-appropriateness. Where the chapter summary's complexity signals are mixed — for instance, where a section uses simple vocabulary to introduce a demanding concept — the cognitive demand of the task implied by the content takes precedence over the surface vocabulary.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independently infer, adjust, or retrieve grade-level calibration from the stage Pedagogy document. The Pedagogy document governs approach and method; the Chapter Summary governs content complexity and age calibration.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Chapter Summary is generated from the actual textbook chapter and therefore carries the textbook's own judgement about what students at this grade can handle. Trusting it is trusting the curriculum.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2  ·  R2  ·  Pedagogical Cognitive Floor</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ensure every activity enforces a minimum cognitive demand level drawn from the subject-specific Pedagogy document. Activities must require students to do something with the content — apply, analyse, connect, construct, evaluate, or produce — at the level the Pedagogy document specifies as appropriate for the subject.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satisfy a competency through activities that ask students only to state, name, recall, list, or define. Recognition and recall are not competency development.
2. The system MUST NOT treat the competency statement itself as the activity target. The activity must develop the competency through engagement with chapter content — the competency code is a destination, not a task description.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3  ·  R3  ·  Strict Section Anchoring</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anchor every activity to a named section of the Chapter Summary. Each activity in the lesson plan must identify the chapter section it draws from. The section's content — not the competency statement — is the primary content vehicle for the activity.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include any activity whose content cannot be traced to a specific section of the Chapter Summary.
2. The system MUST NOT use the competency statement as a content source. Competency statements describe what students will be able to do — they do not describe what the chapter contains.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This rule is the primary mechanism for ensuring lesson plans are grounded in actual textbook content rather than generic pedagogical intent. It also ensures the full chapter is traversed — an activity anchored to a later section cannot be written if the plan has already exhausted its periods on early sections.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4  ·  R4+R5  ·  Competency Emphasis and Full-Chapter Coverage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ensure: (a) all primary competencies listed in the Chapter Mapping have at least one activity associated with them; and (b) higher-weighted competencies receive proportionally greater overall emphasis across the plan — more activities, more time, more depth — than lower-weighted ones. Distribution is achieved through section anchoring: by drawing activities from the sections where each competency is developed, the plan naturally allocates emphasis in proportion to the chapter's own structure.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apply mathematical period-weight allocation formulas. Weight scores signal emphasis, not arithmetic.
2. The system MUST NOT front-load the plan by exhausting early chapter sections in the first periods and compressing or skipping later sections.
3. The system MUST NOT leave any primary competency without at least one activity, regardless of period count.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If the period count is very low and full coverage is genuinely impossible, the system must generate the best possible plan within the constraint AND produce a competency gap note identifying which primary competencies could not be adequately addressed and why.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5  ·  R6  ·  Full LP JSON Output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lesson plan period budget is entirely available for teaching. The system MUST use the full period count × period duration for instructional activities. At the close of the lesson plan, the system MUST produce the Full LP JSON document conforming exactly to the schema defined in Amendment A3 below. This JSON is the single source of truth for online display, PDF generation, and the LO Handoff to the Assessment Constitution. All assessment design and all decisions about assessment time are governed exclusively by the Assessment Constitution.</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reserve any portion of the lesson plan period budget for assessment.
2. The system MUST NOT embed assessment tasks, assessment questions, or assessment time estimates within the lesson plan itself.
3. The system MUST NOT omit the Full LP JSON. It is a required output of every lesson plan generation run.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LO Handoff is no longer a separate document. It is contained within the Full LP JSON — specifically the period array with its implied_lo, c_code, cg, weight, and competency_text fields. The Assessment Constitution reads from this JSON directly.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6  ·  R7  ·  Pedagogical Approach Diversity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employ diverse pedagogical approaches across periods, matching the approach type to the nature of the content section and the competency being developed. The set of valid approaches is defined exclusively by the pedagogical approach categories in the attached Pedagogy document for the subject and stage.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default to the same activity type across multiple consecutive periods.
2. The system MUST NOT use pedagogical approach categories from outside the attached Pedagogy document.
3. The system MUST NOT choose an approach for variety alone — the approach must be appropriate to the section's content and the competency it develops.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Pedagogy document for each subject specifies different valid approach categories. This rule is generic — it references whichever document is attached. It never hard-codes Social Science approaches or any other subject-specific types.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7  ·  R9  ·  Inverted LO Flow — One Implied LO per Activity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exactly one implied Learning Outcome per activity. The implied LO must be a single observable statement of what the student will demonstrably be able to do upon completing that specific activity. The LO is derived from the activity — it is the logical output of what the activity asks students to do, stated in terms of a student behaviour that a teacher can observe in the classroom.</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generate more than one implied LO per activity.
2. The system MUST NOT retrieve, match, or reference Learning Outcome documents as inputs. LOs are outputs of activity design, not inputs to it.
3. The system MUST NOT generate LOs that are restatements of the competency code or competency statement.
4. The system MUST NOT generate LOs that describe internal cognitive states ('students will understand...'). LOs must describe observable behaviours ('students will be able to explain...').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LO derivation test: read the activity description. Ask — if a student completes this activity as designed, what is the one thing a teacher can observe them doing that they could not do before? That is the implied LO.</w:t>
            </w:r>
          </w:p>
        </w:tc>
      </w:tr>
    </w:tbl>
    <w:p>
      <w:pPr>
        <w:spacing w:before="80" w:after="80"/>
      </w:pPr>
      <w:r>
        <w:t xml:space="preserve"/>
      </w:r>
    </w:p>
    <w:tbl>
      <w:tblPr>
        <w:tblW w:type="dxa" w:w="9360"/>
        <w:tblBorders>
          <w:top w:val="single" w:color="2E75B6" w:sz="4"/>
          <w:left w:val="single" w:color="2E75B6" w:sz="4"/>
          <w:bottom w:val="single" w:color="2E75B6" w:sz="4"/>
          <w:right w:val="single" w:color="2E75B6" w:sz="4"/>
          <w:insideH w:val="single" w:color="CCCCCC" w:sz="4"/>
          <w:insideV w:val="single" w:color="CCCCCC"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8  ·  Visual Representation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evaluate every period for visual representation need. Where the activity requires a visual element the student interacts with or produces, the system MUST set required: true and populate type, visual_source, svg_content, and description as follows:</w:t>
            </w:r>
          </w:p>
          <w:p>
            <w:r>
              <w:rPr>
                <w:rFonts w:ascii="Arial" w:cs="Arial" w:eastAsia="Arial" w:hAnsi="Arial"/>
                <w:sz w:val="20"/>
                <w:szCs w:val="20"/>
              </w:rPr>
              <w:t xml:space="preserve">visual_source logic: (1) Visual exists in textbook → “textbook” · description names the figure or page · svg_content: null. (2) Type is number_line, geometric_construction, data_table, graph, simple diagram, or simple biological_diagram → “generated_svg” · system generates SVG and places it in svg_content. (3) Type is map, complex biological_diagram, or any visual requiring spatial or anatomical accuracy → “external_required” · description describes it precisely enough to source · svg_content: null.</w:t>
            </w:r>
          </w:p>
          <w:p>
            <w:r>
              <w:rPr>
                <w:rFonts w:ascii="Arial" w:cs="Arial" w:eastAsia="Arial" w:hAnsi="Arial"/>
                <w:sz w:val="20"/>
                <w:szCs w:val="20"/>
              </w:rPr>
              <w:t xml:space="preserve">Where no visual is required → required: false · all other fields null.</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MUST NOT generate SVG for map or any visual requiring accurate spatial or anatomical detail. 2. MUST NOT leave svg_content null when visual_source is generated_svg — downgrade to external_required with populated description if generation fails. 3. MUST NOT set required: true for decorative visuals. Only flag where the visual is a functional part of the activity.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i/>
                <w:iCs/>
                <w:color w:val="444444"/>
              </w:rPr>
              <w:t xml:space="preserve">Use section anchor and activity description as the primary signal — not subject group alone. Geometry and data periods in Mathematics, process and structure periods in Science and Biology, and geographical periods in Social Sciences are the most frequent triggers.</w:t>
            </w:r>
          </w:p>
        </w:tc>
      </w:tr>
    </w:tbl>
    <w:p>
      <w:pPr>
        <w:spacing w:before="80" w:after="80"/>
      </w:pPr>
      <w:r>
        <w:t/>
      </w:r>
    </w:p>
    <w:p>
      <w:pPr>
        <w:spacing w:before="160" w:after="80"/>
      </w:pPr>
      <w:r>
        <w:rPr>
          <w:rFonts w:ascii="Arial" w:cs="Arial" w:eastAsia="Arial" w:hAnsi="Arial"/>
          <w:b/>
          <w:bCs/>
          <w:color w:val="1F4E79"/>
          <w:sz w:val="22"/>
          <w:szCs w:val="22"/>
        </w:rPr>
        <w:t xml:space="preserve">Amendment A3 — Full LP JSON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A3 — Full LP JSON Schema</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system MUST produce the lesson plan output as a structured JSON object conforming exactly to this schema. This JSON is the single source of truth for online display, PDF generation, and the LO Handoff to the Assessment Constitution. No separate LO Handoff document is required — the period array within this JSON carries all LO Handoff data.</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system MUST populate every field. Empty strings and empty arrays are not permitted for required fields.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visual_representation.type must be one of: map | diagram | graph | number_line | geometric_construction | data_table | biological_diagram — or null if required is false. visual_source must be one of: textbook | generated_svg | external_required | null. svg_content must be a valid SVG string when visual_source is generated_svg, null otherwise.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"grade": "string",</w:t>
            </w:r>
          </w:p>
          <w:p>
            <w:pPr>
              <w:spacing w:before="20" w:after="20"/>
            </w:pPr>
            <w:r>
              <w:rPr>
                <w:rFonts w:ascii="Courier New" w:cs="Courier New" w:eastAsia="Courier New" w:hAnsi="Courier New"/>
                <w:color w:val="D4D4D4"/>
                <w:sz w:val="18"/>
                <w:szCs w:val="18"/>
              </w:rPr>
              <w:t xml:space="preserve">  "subject": "string",</w:t>
            </w:r>
          </w:p>
          <w:p>
            <w:pPr>
              <w:spacing w:before="20" w:after="20"/>
            </w:pPr>
            <w:r>
              <w:rPr>
                <w:rFonts w:ascii="Courier New" w:cs="Courier New" w:eastAsia="Courier New" w:hAnsi="Courier New"/>
                <w:color w:val="D4D4D4"/>
                <w:sz w:val="18"/>
                <w:szCs w:val="18"/>
              </w:rPr>
              <w:t xml:space="preserve">  "chapter_number": "integer",</w:t>
            </w:r>
          </w:p>
          <w:p>
            <w:pPr>
              <w:spacing w:before="20" w:after="20"/>
            </w:pPr>
            <w:r>
              <w:rPr>
                <w:rFonts w:ascii="Courier New" w:cs="Courier New" w:eastAsia="Courier New" w:hAnsi="Courier New"/>
                <w:color w:val="D4D4D4"/>
                <w:sz w:val="18"/>
                <w:szCs w:val="18"/>
              </w:rPr>
              <w:t xml:space="preserve">  "chapter_title": "string",</w:t>
            </w:r>
          </w:p>
          <w:p>
            <w:pPr>
              <w:spacing w:before="20" w:after="20"/>
            </w:pPr>
            <w:r>
              <w:rPr>
                <w:rFonts w:ascii="Courier New" w:cs="Courier New" w:eastAsia="Courier New" w:hAnsi="Courier New"/>
                <w:color w:val="D4D4D4"/>
                <w:sz w:val="18"/>
                <w:szCs w:val="18"/>
              </w:rPr>
              <w:t xml:space="preserve">  "period_schedule": [</w:t>
            </w:r>
          </w:p>
          <w:p>
            <w:pPr>
              <w:spacing w:before="20" w:after="20"/>
            </w:pPr>
            <w:r>
              <w:rPr>
                <w:rFonts w:ascii="Courier New" w:cs="Courier New" w:eastAsia="Courier New" w:hAnsi="Courier New"/>
                <w:color w:val="D4D4D4"/>
                <w:sz w:val="18"/>
                <w:szCs w:val="18"/>
              </w:rPr>
              <w:t xml:space="preserve">    { "duration_minutes": "integer", "count": "integer"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"lesson_plan": {</w:t>
            </w:r>
          </w:p>
          <w:p>
            <w:pPr>
              <w:spacing w:before="20" w:after="20"/>
            </w:pPr>
            <w:r>
              <w:rPr>
                <w:rFonts w:ascii="Courier New" w:cs="Courier New" w:eastAsia="Courier New" w:hAnsi="Courier New"/>
                <w:color w:val="D4D4D4"/>
                <w:sz w:val="18"/>
                <w:szCs w:val="18"/>
              </w:rPr>
              <w:t xml:space="preserve">    "periods":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"period_number": "integer",</w:t>
            </w:r>
          </w:p>
          <w:p>
            <w:pPr>
              <w:spacing w:before="20" w:after="20"/>
            </w:pPr>
            <w:r>
              <w:rPr>
                <w:rFonts w:ascii="Courier New" w:cs="Courier New" w:eastAsia="Courier New" w:hAnsi="Courier New"/>
                <w:color w:val="D4D4D4"/>
                <w:sz w:val="18"/>
                <w:szCs w:val="18"/>
              </w:rPr>
              <w:t xml:space="preserve">        "period_duration_minutes": "integer",</w:t>
            </w:r>
          </w:p>
          <w:p>
            <w:pPr>
              <w:spacing w:before="20" w:after="20"/>
            </w:pPr>
            <w:r>
              <w:rPr>
                <w:rFonts w:ascii="Courier New" w:cs="Courier New" w:eastAsia="Courier New" w:hAnsi="Courier New"/>
                <w:color w:val="D4D4D4"/>
                <w:sz w:val="18"/>
                <w:szCs w:val="18"/>
              </w:rPr>
              <w:t xml:space="preserve">        "activity_name": "string  — short label for this period's activity",</w:t>
            </w:r>
          </w:p>
          <w:p>
            <w:pPr>
              <w:spacing w:before="20" w:after="20"/>
            </w:pPr>
            <w:r>
              <w:rPr>
                <w:rFonts w:ascii="Courier New" w:cs="Courier New" w:eastAsia="Courier New" w:hAnsi="Courier New"/>
                <w:color w:val="D4D4D4"/>
                <w:sz w:val="18"/>
                <w:szCs w:val="18"/>
              </w:rPr>
              <w:t xml:space="preserve">        "section_anchor": "string  — named chapter section this activity draws from",</w:t>
            </w:r>
          </w:p>
          <w:p>
            <w:pPr>
              <w:spacing w:before="20" w:after="20"/>
            </w:pPr>
            <w:r>
              <w:rPr>
                <w:rFonts w:ascii="Courier New" w:cs="Courier New" w:eastAsia="Courier New" w:hAnsi="Courier New"/>
                <w:color w:val="D4D4D4"/>
                <w:sz w:val="18"/>
                <w:szCs w:val="18"/>
              </w:rPr>
              <w:t xml:space="preserve">        "material": ["string", "..."],</w:t>
            </w:r>
          </w:p>
          <w:p>
            <w:pPr>
              <w:spacing w:before="20" w:after="20"/>
            </w:pPr>
            <w:r>
              <w:rPr>
                <w:rFonts w:ascii="Courier New" w:cs="Courier New" w:eastAsia="Courier New" w:hAnsi="Courier New"/>
                <w:color w:val="D4D4D4"/>
                <w:sz w:val="18"/>
                <w:szCs w:val="18"/>
              </w:rPr>
              <w:t xml:space="preserve">        "time_bands": [</w:t>
            </w:r>
          </w:p>
          <w:p>
            <w:pPr>
              <w:spacing w:before="20" w:after="20"/>
            </w:pPr>
            <w:r>
              <w:rPr>
                <w:rFonts w:ascii="Courier New" w:cs="Courier New" w:eastAsia="Courier New" w:hAnsi="Courier New"/>
                <w:color w:val="D4D4D4"/>
                <w:sz w:val="18"/>
                <w:szCs w:val="18"/>
              </w:rPr>
              <w:t xml:space="preserve">          { "minutes": "string e.g. 0-5", "activity": "string"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"implied_lo": "string  — single observable student behaviour",</w:t>
            </w:r>
          </w:p>
          <w:p>
            <w:pPr>
              <w:spacing w:before="20" w:after="20"/>
            </w:pPr>
            <w:r>
              <w:rPr>
                <w:rFonts w:ascii="Courier New" w:cs="Courier New" w:eastAsia="Courier New" w:hAnsi="Courier New"/>
                <w:color w:val="D4D4D4"/>
                <w:sz w:val="18"/>
                <w:szCs w:val="18"/>
              </w:rPr>
              <w:t xml:space="preserve">        "competency": {</w:t>
            </w:r>
          </w:p>
          <w:p>
            <w:pPr>
              <w:spacing w:before="20" w:after="20"/>
            </w:pPr>
            <w:r>
              <w:rPr>
                <w:rFonts w:ascii="Courier New" w:cs="Courier New" w:eastAsia="Courier New" w:hAnsi="Courier New"/>
                <w:color w:val="D4D4D4"/>
                <w:sz w:val="18"/>
                <w:szCs w:val="18"/>
              </w:rPr>
              <w:t xml:space="preserve">          "c_code": "string",</w:t>
            </w:r>
          </w:p>
          <w:p>
            <w:pPr>
              <w:spacing w:before="20" w:after="20"/>
            </w:pPr>
            <w:r>
              <w:rPr>
                <w:rFonts w:ascii="Courier New" w:cs="Courier New" w:eastAsia="Courier New" w:hAnsi="Courier New"/>
                <w:color w:val="D4D4D4"/>
                <w:sz w:val="18"/>
                <w:szCs w:val="18"/>
              </w:rPr>
              <w:t xml:space="preserve">          "cg": "string",</w:t>
            </w:r>
          </w:p>
          <w:p>
            <w:pPr>
              <w:spacing w:before="20" w:after="20"/>
            </w:pPr>
            <w:r>
              <w:rPr>
                <w:rFonts w:ascii="Courier New" w:cs="Courier New" w:eastAsia="Courier New" w:hAnsi="Courier New"/>
                <w:color w:val="D4D4D4"/>
                <w:sz w:val="18"/>
                <w:szCs w:val="18"/>
              </w:rPr>
              <w:t xml:space="preserve">          "weight": "integer  — 3 | 2 | 1",</w:t>
            </w:r>
          </w:p>
          <w:p>
            <w:pPr>
              <w:spacing w:before="20" w:after="20"/>
            </w:pPr>
            <w:r>
              <w:rPr>
                <w:rFonts w:ascii="Courier New" w:cs="Courier New" w:eastAsia="Courier New" w:hAnsi="Courier New"/>
                <w:color w:val="D4D4D4"/>
                <w:sz w:val="18"/>
                <w:szCs w:val="18"/>
              </w:rPr>
              <w:t xml:space="preserve">          "competency_text":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"visual_representation": {</w:t>
            </w:r>
          </w:p>
          <w:p>
            <w:pPr>
              <w:spacing w:before="20" w:after="20"/>
            </w:pPr>
            <w:r>
              <w:rPr>
                <w:rFonts w:ascii="Courier New" w:cs="Courier New" w:eastAsia="Courier New" w:hAnsi="Courier New"/>
                <w:color w:val="D4D4D4"/>
                <w:sz w:val="18"/>
                <w:szCs w:val="18"/>
              </w:rPr>
              <w:t xml:space="preserve">          "required": "boolean",</w:t>
            </w:r>
          </w:p>
          <w:p>
            <w:pPr>
              <w:spacing w:before="20" w:after="20"/>
            </w:pPr>
            <w:r>
              <w:rPr>
                <w:rFonts w:ascii="Courier New" w:cs="Courier New" w:eastAsia="Courier New" w:hAnsi="Courier New"/>
                <w:color w:val="D4D4D4"/>
                <w:sz w:val="18"/>
                <w:szCs w:val="18"/>
              </w:rPr>
              <w:t xml:space="preserve">          "type": "string | null",</w:t>
            </w:r>
          </w:p>
          <w:p>
            <w:pPr>
              <w:spacing w:before="20" w:after="20"/>
            </w:pPr>
            <w:r>
              <w:rPr>
                <w:rFonts w:ascii="Courier New" w:cs="Courier New" w:eastAsia="Courier New" w:hAnsi="Courier New"/>
                <w:color w:val="D4D4D4"/>
                <w:sz w:val="18"/>
                <w:szCs w:val="18"/>
              </w:rPr>
              <w:t xml:space="preserve">          "visual_source": "textbook | generated_svg | external_required | null",</w:t>
            </w:r>
          </w:p>
          <w:p>
            <w:pPr>
              <w:spacing w:before="20" w:after="20"/>
            </w:pPr>
            <w:r>
              <w:rPr>
                <w:rFonts w:ascii="Courier New" w:cs="Courier New" w:eastAsia="Courier New" w:hAnsi="Courier New"/>
                <w:color w:val="D4D4D4"/>
                <w:sz w:val="18"/>
                <w:szCs w:val="18"/>
              </w:rPr>
              <w:t xml:space="preserve">          "svg_content": "string | null  — SVG string when visual_source is generated_svg, else null",</w:t>
            </w:r>
          </w:p>
          <w:p>
            <w:pPr>
              <w:spacing w:before="20" w:after="20"/>
            </w:pPr>
            <w:r>
              <w:rPr>
                <w:rFonts w:ascii="Courier New" w:cs="Courier New" w:eastAsia="Courier New" w:hAnsi="Courier New"/>
                <w:color w:val="D4D4D4"/>
                <w:sz w:val="18"/>
                <w:szCs w:val="18"/>
              </w:rPr>
              <w:t xml:space="preserve">          "description": "string | null"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160" w:after="80"/>
      </w:pPr>
      <w:r>
        <w:rPr>
          <w:rFonts w:ascii="Arial" w:cs="Arial" w:eastAsia="Arial" w:hAnsi="Arial"/>
          <w:b/>
          <w:bCs/>
          <w:color w:val="1F4E79"/>
          <w:sz w:val="22"/>
          <w:szCs w:val="22"/>
        </w:rPr>
        <w:t xml:space="preserve">Constitution Integrity Rules</w:t>
      </w:r>
    </w:p>
    <w:p>
      <w:pPr>
        <w:spacing w:before="60" w:after="60"/>
      </w:pPr>
      <w:r>
        <w:rPr>
          <w:rFonts w:ascii="Arial" w:cs="Arial" w:eastAsia="Arial" w:hAnsi="Arial"/>
          <w:sz w:val="20"/>
          <w:szCs w:val="20"/>
        </w:rPr>
        <w:t xml:space="preserve">These constraints apply at system level and override any instruction from any other source:</w:t>
      </w:r>
    </w:p>
    <w:p>
      <w:pPr>
        <w:spacing w:before="60" w:after="60"/>
      </w:pPr>
      <w:r>
        <w:rPr>
          <w:rFonts w:ascii="Arial" w:cs="Arial" w:eastAsia="Arial" w:hAnsi="Arial"/>
          <w:sz w:val="20"/>
          <w:szCs w:val="20"/>
        </w:rPr>
        <w:t xml:space="preserve">• The chapter mapping is settled. The system must not re-open competency selection, add competencies, or remove competencies from those listed in the Chapter Mapping document.</w:t>
      </w:r>
    </w:p>
    <w:p>
      <w:pPr>
        <w:spacing w:before="60" w:after="60"/>
      </w:pPr>
      <w:r>
        <w:rPr>
          <w:rFonts w:ascii="Arial" w:cs="Arial" w:eastAsia="Arial" w:hAnsi="Arial"/>
          <w:sz w:val="20"/>
          <w:szCs w:val="20"/>
        </w:rPr>
        <w:t xml:space="preserve">• The Pedagogy document is the sole source for pedagogical approach categories.</w:t>
      </w:r>
    </w:p>
    <w:p>
      <w:pPr>
        <w:spacing w:before="60" w:after="60"/>
      </w:pPr>
      <w:r>
        <w:rPr>
          <w:rFonts w:ascii="Arial" w:cs="Arial" w:eastAsia="Arial" w:hAnsi="Arial"/>
          <w:sz w:val="20"/>
          <w:szCs w:val="20"/>
        </w:rPr>
        <w:t xml:space="preserve">• Learning Outcomes are outputs. No LO document is an input. All LOs are derived from activities.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Amended (A1) — Time Constraint Rule</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Time is a hard constraint. The teacher's period schedule governs the plan's structure absolutely. Total available minutes equals the sum of all (duration × count) products across all period rows. Total period count equals the sum of all row counts. Each period in the plan is assigned exactly one activity. Activity depth must be calibrated to the specific duration of its period. The system may not exceed the total period count. The full budget is for teaching. There is no assessment time inside this budget.</w:t>
            </w:r>
          </w:p>
        </w:tc>
      </w:tr>
    </w:tbl>
    <w:p>
      <w:pPr>
        <w:spacing w:before="80" w:after="80"/>
      </w:pPr>
      <w:r>
        <w:t xml:space="preserve"/>
      </w:r>
    </w:p>
    <w:p>
      <w:pPr>
        <w:spacing w:before="60" w:after="60"/>
      </w:pPr>
      <w:r>
        <w:rPr>
          <w:rFonts w:ascii="Arial" w:cs="Arial" w:eastAsia="Arial" w:hAnsi="Arial"/>
          <w:sz w:val="20"/>
          <w:szCs w:val="20"/>
        </w:rPr>
        <w:t xml:space="preserve">• The section anchoring requirement in Rule 3 is absolute. There are no exceptions for introductory, transition, or review activities.</w:t>
      </w:r>
    </w:p>
    <w:p>
      <w:pPr>
        <w:spacing w:before="60" w:after="60"/>
      </w:pPr>
      <w:r>
        <w:rPr>
          <w:rFonts w:ascii="Arial" w:cs="Arial" w:eastAsia="Arial" w:hAnsi="Arial"/>
          <w:sz w:val="20"/>
          <w:szCs w:val="20"/>
        </w:rPr>
        <w:t xml:space="preserve">• These rules are generic. They apply identically to Social Science, Mathematics, Language, and Science. No subject-specific exceptions are permitted at the constitutional level.</w:t>
      </w:r>
    </w:p>
    <w:p>
      <w:pPr>
        <w:spacing w:before="80" w:after="80"/>
      </w:pPr>
      <w:r>
        <w:t xml:space="preserve"/>
      </w:r>
    </w:p>
    <w:p>
      <w:pPr>
        <w:spacing w:before="160" w:after="80"/>
      </w:pPr>
      <w:r>
        <w:rPr>
          <w:rFonts w:ascii="Arial" w:cs="Arial" w:eastAsia="Arial" w:hAnsi="Arial"/>
          <w:b/>
          <w:bCs/>
          <w:color w:val="1F4E79"/>
          <w:sz w:val="22"/>
          <w:szCs w:val="22"/>
        </w:rPr>
        <w:t xml:space="preserve">Rule Reference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5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Mechanism</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1  ·  R1</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Content-Driven Age Calibration</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Chapter Summary = age signal; Pedagogy doc = method only</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2  ·  R2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Pedagogical Cognitive Floor</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Every activity requires students to apply, analyse, construct, or produce</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3  ·  R3</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Strict Section Anchoring</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Every activity traceable to a named chapter section; full chapter traversed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4  ·  R4+R5</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Competency Emphasis and Full-Chapter Coverage</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All primary competencies get ≥1 activity; higher weight = greater emphasis</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5  ·  R6</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Full LP JSON Output</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Full period budget = teaching; LP JSON produced as primary structured output (A3)</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6  ·  R7</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Pedagogical Approach Diversity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Diverse approaches per period; drawn from attached Pedagogy doc only</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7  ·  R9</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Inverted LO Flow</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One implied observable LO per activity; derived not retrieved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8</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Visual Representation</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18"/>
                <w:szCs w:val="18"/>
              </w:rPr>
              <w:t>Evaluate every period; populate visual_representation block; generate SVG where feasible; flag external_required where not</w:t>
            </w:r>
          </w:p>
        </w:tc>
      </w:tr>
    </w:tbl>
    <w:p>
      <w:pPr>
        <w:spacing w:before="80" w:after="80"/>
      </w:pPr>
      <w:r>
        <w:t xml:space="preserve"/>
      </w:r>
    </w:p>
    <w:p>
      <w:pPr>
        <w:spacing w:before="60" w:after="60"/>
      </w:pPr>
      <w:r>
        <w:rPr>
          <w:rFonts w:ascii="Arial" w:cs="Arial" w:eastAsia="Arial" w:hAnsi="Arial"/>
          <w:i/>
          <w:iCs/>
          <w:color w:val="444444"/>
          <w:sz w:val="20"/>
          <w:szCs w:val="20"/>
        </w:rPr>
        <w:t xml:space="preserve">Aruvi · NCF 2023-Aligned Pedagogical Platform · Lesson Plan Generation Constitution · Version 1.3 · Eight rules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2026-03-24T13:14:33.495Z</dcterms:created>
  <dcterms:modified xsi:type="dcterms:W3CDTF">2026-03-24T13:14:33.495Z</dcterms:modified>
</cp:coreProperties>
</file>

<file path=docProps/custom.xml><?xml version="1.0" encoding="utf-8"?>
<Properties xmlns="http://schemas.openxmlformats.org/officeDocument/2006/custom-properties" xmlns:vt="http://schemas.openxmlformats.org/officeDocument/2006/docPropsVTypes"/>
</file>