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2E75B6"/>
          <w:sz w:val="24"/>
          <w:szCs w:val="24"/>
        </w:rPr>
        <w:t xml:space="preserve">ARUVI  ·  PEDAGOGICAL PLATFORM</w:t>
      </w:r>
    </w:p>
    <w:p>
      <w:pPr>
        <w:spacing w:before="0" w:after="60"/>
      </w:pPr>
      <w:r>
        <w:rPr>
          <w:rFonts w:ascii="Arial" w:cs="Arial" w:eastAsia="Arial" w:hAnsi="Arial"/>
          <w:b/>
          <w:bCs/>
          <w:color w:val="1F4E79"/>
          <w:sz w:val="32"/>
          <w:szCs w:val="32"/>
        </w:rPr>
        <w:t xml:space="preserve">Lesson Plan Generation Constitution</w:t>
      </w:r>
    </w:p>
    <w:p>
      <w:pPr>
        <w:spacing w:before="0" w:after="40"/>
      </w:pPr>
      <w:r>
        <w:rPr>
          <w:rFonts w:ascii="Arial" w:cs="Arial" w:eastAsia="Arial" w:hAnsi="Arial"/>
          <w:i/>
          <w:iCs/>
          <w:color w:val="595959"/>
          <w:sz w:val="20"/>
          <w:szCs w:val="20"/>
        </w:rPr>
        <w:t xml:space="preserve">Version 1.4  ·  Seven rules + three amendments  ·  Generic across all subjects and stages</w:t>
      </w:r>
    </w:p>
    <w:p>
      <w:pPr>
        <w:spacing w:before="0" w:after="200"/>
      </w:pPr>
      <w:r>
        <w:rPr>
          <w:rFonts w:ascii="Arial" w:cs="Arial" w:eastAsia="Arial" w:hAnsi="Arial"/>
          <w:i/>
          <w:iCs/>
          <w:color w:val="595959"/>
          <w:sz w:val="20"/>
          <w:szCs w:val="20"/>
        </w:rPr>
        <w:t xml:space="preserve">Amended: multi-row period input (A1)  ·  LO handoff JSON format (A2)  ·  Full LP JSON schema (A3)</w:t>
      </w:r>
    </w:p>
    <w:p>
      <w:pPr>
        <w:spacing w:before="160" w:after="80"/>
      </w:pPr>
      <w:r>
        <w:rPr>
          <w:rFonts w:ascii="Arial" w:cs="Arial" w:eastAsia="Arial" w:hAnsi="Arial"/>
          <w:b/>
          <w:bCs/>
          <w:color w:val="1F4E79"/>
          <w:sz w:val="22"/>
          <w:szCs w:val="22"/>
        </w:rPr>
        <w:t xml:space="preserve">What This Constitution Governs</w:t>
      </w:r>
    </w:p>
    <w:p>
      <w:pPr>
        <w:spacing w:before="60" w:after="60"/>
      </w:pPr>
      <w:r>
        <w:rPr>
          <w:rFonts w:ascii="Arial" w:cs="Arial" w:eastAsia="Arial" w:hAnsi="Arial"/>
          <w:sz w:val="20"/>
          <w:szCs w:val="20"/>
        </w:rPr>
        <w:t xml:space="preserve">These rules govern lesson plan generation only. They do not govern the chapter mapping process, which is completed separately at build time.</w:t>
      </w:r>
    </w:p>
    <w:p>
      <w:pPr>
        <w:spacing w:before="60" w:after="60"/>
      </w:pPr>
      <w:r>
        <w:rPr>
          <w:rFonts w:ascii="Arial" w:cs="Arial" w:eastAsia="Arial" w:hAnsi="Arial"/>
          <w:sz w:val="20"/>
          <w:szCs w:val="20"/>
        </w:rPr>
        <w:t xml:space="preserve">The lesson plan generator receives two settled inputs: (1) the Chapter Mapping document — containing pre-identified competencies with weight scores and a structured chapter summary mirroring every textbook heading; and (2) the NCF Pedagogy document for the subject and stage.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F0C040" w:sz="4"/>
              <w:left w:val="single" w:color="F0C040" w:sz="4"/>
              <w:bottom w:val="single" w:color="F0C040" w:sz="4"/>
              <w:right w:val="single" w:color="F0C040" w:sz="4"/>
            </w:tcBorders>
            <w:shd w:fill="F0C040" w:val="clear"/>
            <w:tcMar>
              <w:top w:type="dxa" w:w="60"/>
              <w:left w:type="dxa" w:w="120"/>
              <w:bottom w:type="dxa" w:w="60"/>
              <w:right w:type="dxa" w:w="120"/>
            </w:tcMar>
          </w:tcPr>
          <w:p>
            <w:r>
              <w:rPr>
                <w:rFonts w:ascii="Arial" w:cs="Arial" w:eastAsia="Arial" w:hAnsi="Arial"/>
                <w:b/>
                <w:bCs/>
                <w:color w:val="FFFFFF"/>
                <w:sz w:val="20"/>
                <w:szCs w:val="20"/>
              </w:rPr>
              <w:t xml:space="preserve">Amendment A1 — Multi-Row Period Input</w:t>
            </w:r>
          </w:p>
        </w:tc>
      </w:tr>
      <w:tr>
        <w:tc>
          <w:tcPr>
            <w:tcW w:type="dxa" w:w="9360"/>
            <w:tcBorders>
              <w:top w:val="single" w:color="F0C040" w:sz="4"/>
              <w:left w:val="single" w:color="F0C040" w:sz="4"/>
              <w:bottom w:val="single" w:color="F0C040" w:sz="4"/>
              <w:right w:val="single" w:color="F0C040" w:sz="4"/>
            </w:tcBorders>
            <w:shd w:fill="FFF2CC" w:val="clear"/>
            <w:tcMar>
              <w:top w:type="dxa" w:w="100"/>
              <w:left w:type="dxa" w:w="160"/>
              <w:bottom w:type="dxa" w:w="100"/>
              <w:right w:type="dxa" w:w="160"/>
            </w:tcMar>
          </w:tcPr>
          <w:p>
            <w:pPr>
              <w:spacing w:before="60" w:after="60"/>
            </w:pPr>
            <w:r>
              <w:rPr>
                <w:rFonts w:ascii="Arial" w:cs="Arial" w:eastAsia="Arial" w:hAnsi="Arial"/>
                <w:sz w:val="20"/>
                <w:szCs w:val="20"/>
              </w:rPr>
              <w:t xml:space="preserve">The generator receives the teacher's period schedule as one or more rows, each specifying a period duration in minutes and a count of periods of that duration. The total period count is the sum of all row counts. The total available minutes is the sum of each row's (duration × count) product. Both the total period count and the per-row duration structure are hard constraints — each period in the plan is assigned an activity calibrated to its specific duration.</w:t>
            </w:r>
          </w:p>
        </w:tc>
      </w:tr>
    </w:tbl>
    <w:p>
      <w:pPr>
        <w:spacing w:before="80" w:after="80"/>
      </w:pPr>
      <w:r>
        <w:t xml:space="preserve"/>
      </w:r>
    </w:p>
    <w:p>
      <w:pPr>
        <w:spacing w:before="60" w:after="60"/>
      </w:pPr>
      <w:r>
        <w:rPr>
          <w:rFonts w:ascii="Arial" w:cs="Arial" w:eastAsia="Arial" w:hAnsi="Arial"/>
          <w:sz w:val="20"/>
          <w:szCs w:val="20"/>
        </w:rPr>
        <w:t xml:space="preserve">These inputs are given. The generator does not re-evaluate, re-select, or supplement competencies. It does not retrieve Learning Outcomes. It translates given competencies and given chapter content into a time-constrained period-by-period lesson plan, and produces a structured LP JSON as a required companion output.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Given Inputs (do not regenerate)</w:t>
            </w:r>
          </w:p>
        </w:tc>
        <w:tc>
          <w:tcPr>
            <w:tcW w:type="dxa" w:w="46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 Outputs</w:t>
            </w:r>
          </w:p>
        </w:tc>
      </w:tr>
      <w:tr>
        <w:tc>
          <w:tcPr>
            <w:tcW w:type="dxa" w:w="46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before="40" w:after="40"/>
            </w:pPr>
            <w:r>
              <w:rPr>
                <w:rFonts w:ascii="Arial" w:cs="Arial" w:eastAsia="Arial" w:hAnsi="Arial"/>
                <w:sz w:val="19"/>
                <w:szCs w:val="19"/>
              </w:rPr>
              <w:t xml:space="preserve">Chapter Mapping document (competencies + weights + structured summary)</w:t>
            </w:r>
          </w:p>
          <w:p>
            <w:pPr>
              <w:spacing w:before="40" w:after="40"/>
            </w:pPr>
            <w:r>
              <w:rPr>
                <w:rFonts w:ascii="Arial" w:cs="Arial" w:eastAsia="Arial" w:hAnsi="Arial"/>
                <w:sz w:val="19"/>
                <w:szCs w:val="19"/>
              </w:rPr>
              <w:t xml:space="preserve">NCF Pedagogy document for subject and stage</w:t>
            </w:r>
          </w:p>
          <w:p>
            <w:pPr>
              <w:spacing w:before="40" w:after="40"/>
            </w:pPr>
            <w:r>
              <w:rPr>
                <w:rFonts w:ascii="Arial" w:cs="Arial" w:eastAsia="Arial" w:hAnsi="Arial"/>
                <w:sz w:val="19"/>
                <w:szCs w:val="19"/>
              </w:rPr>
              <w:t xml:space="preserve">Period schedule: one or more rows of {duration in minutes, period count}</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40" w:after="40"/>
            </w:pPr>
            <w:r>
              <w:rPr>
                <w:rFonts w:ascii="Arial" w:cs="Arial" w:eastAsia="Arial" w:hAnsi="Arial"/>
                <w:sz w:val="19"/>
                <w:szCs w:val="19"/>
              </w:rPr>
              <w:t xml:space="preserve">Period-by-period lesson plan (full period budget used for teaching)</w:t>
            </w:r>
          </w:p>
          <w:p>
            <w:pPr>
              <w:spacing w:before="40" w:after="40"/>
            </w:pPr>
            <w:r>
              <w:rPr>
                <w:rFonts w:ascii="Arial" w:cs="Arial" w:eastAsia="Arial" w:hAnsi="Arial"/>
                <w:sz w:val="19"/>
                <w:szCs w:val="19"/>
              </w:rPr>
              <w:t xml:space="preserve">Each activity anchored to a named chapter section</w:t>
            </w:r>
          </w:p>
          <w:p>
            <w:pPr>
              <w:spacing w:before="40" w:after="40"/>
            </w:pPr>
            <w:r>
              <w:rPr>
                <w:rFonts w:ascii="Arial" w:cs="Arial" w:eastAsia="Arial" w:hAnsi="Arial"/>
                <w:sz w:val="19"/>
                <w:szCs w:val="19"/>
              </w:rPr>
              <w:t xml:space="preserve">One implied LO per activity (derived, not retrieved)</w:t>
            </w:r>
          </w:p>
          <w:p>
            <w:pPr>
              <w:spacing w:before="40" w:after="40"/>
            </w:pPr>
            <w:r>
              <w:rPr>
                <w:rFonts w:ascii="Arial" w:cs="Arial" w:eastAsia="Arial" w:hAnsi="Arial"/>
                <w:b/>
                <w:bCs/>
                <w:sz w:val="19"/>
                <w:szCs w:val="19"/>
              </w:rPr>
              <w:t xml:space="preserve">Full LP JSON document (A3) — primary output for display, PDF, and LO Handoff</w:t>
            </w:r>
          </w:p>
        </w:tc>
      </w:tr>
    </w:tbl>
    <w:p>
      <w:pPr>
        <w:spacing w:before="80" w:after="80"/>
      </w:pPr>
      <w:r>
        <w:t xml:space="preserve"/>
      </w:r>
    </w:p>
    <w:p>
      <w:pPr>
        <w:spacing w:before="160" w:after="80"/>
      </w:pPr>
      <w:r>
        <w:rPr>
          <w:rFonts w:ascii="Arial" w:cs="Arial" w:eastAsia="Arial" w:hAnsi="Arial"/>
          <w:b/>
          <w:bCs/>
          <w:color w:val="1F4E79"/>
          <w:sz w:val="22"/>
          <w:szCs w:val="22"/>
        </w:rPr>
        <w:t xml:space="preserve">Rules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1  ·  R1  ·  Content-Driven Age Calibration</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use the specific vocabulary, examples, and cognitive demand natively present in the Chapter Summary as the primary signal for age-appropriateness. Where the chapter summary's complexity signals are mixed — for instance, where a section uses simple vocabulary to introduce a demanding concept — the cognitive demand of the task implied by the content takes precedence over the surface vocabulary.</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NOT independently infer, adjust, or retrieve grade-level calibration from the stage Pedagogy document. The Pedagogy document governs approach and method; the Chapter Summary governs content complexity and age calibration.</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The Chapter Summary is generated from the actual textbook chapter and therefore carries the textbook's own judgement about what students at this grade can handle. Trusting it is trusting the curriculum.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2  ·  R2  ·  Pedagogical Cognitive Floor</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ensure every activity enforces a minimum cognitive demand level drawn from the subject-specific Pedagogy document. Activities must require students to do something with the content — apply, analyse, connect, construct, evaluate, or produce — at the level the Pedagogy document specifies as appropriate for the subject.</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The system MUST NOT satisfy a competency through activities that ask students only to state, name, recall, list, or define. Recognition and recall are not competency development.
2. The system MUST NOT treat the competency statement itself as the activity target. The activity must develop the competency through engagement with chapter content — the competency code is a destination, not a task description.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3  ·  R3  ·  Strict Section Anchoring</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anchor every activity to a named section of the Chapter Summary. Each activity in the lesson plan must identify the chapter section it draws from. The section's content — not the competency statement — is the primary content vehicle for the activity.</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The system MUST NOT include any activity whose content cannot be traced to a specific section of the Chapter Summary.
2. The system MUST NOT use the competency statement as a content source. Competency statements describe what students will be able to do — they do not describe what the chapter contains.</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This rule is the primary mechanism for ensuring lesson plans are grounded in actual textbook content rather than generic pedagogical intent. It also ensures the full chapter is traversed — an activity anchored to a later section cannot be written if the plan has already exhausted its periods on early sections.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4  ·  R4+R5  ·  Competency Emphasis and Full-Chapter Coverage</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ensure: (a) all primary competencies listed in the Chapter Mapping have at least one activity associated with them; and (b) higher-weighted competencies receive proportionally greater overall emphasis across the plan — more activities, more time, more depth — than lower-weighted ones. Distribution is achieved through section anchoring: by drawing activities from the sections where each competency is developed, the plan naturally allocates emphasis in proportion to the chapter's own structure.</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The system MUST NOT apply mathematical period-weight allocation formulas. Weight scores signal emphasis, not arithmetic.
2. The system MUST NOT front-load the plan by exhausting early chapter sections in the first periods and compressing or skipping later sections.
3. The system MUST NOT leave any primary competency without at least one activity, regardless of period count.</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If the period count is very low and full coverage is genuinely impossible, the system must generate the best possible plan within the constraint AND produce a competency gap note identifying which primary competencies could not be adequately addressed and why.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5  ·  R6  ·  Full LP JSON Output</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lesson plan period budget is entirely available for teaching. The system MUST use the full period count × period duration for instructional activities. At the close of the lesson plan, the system MUST produce the Full LP JSON document conforming exactly to the schema defined in Amendment A3 below. This JSON is the single source of truth for online display, PDF generation, and the LO Handoff to the Assessment Constitution. All assessment design and all decisions about assessment time are governed exclusively by the Assessment Constitution.</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The system MUST NOT reserve any portion of the lesson plan period budget for assessment.
2. The system MUST NOT embed assessment tasks, assessment questions, or assessment time estimates within the lesson plan itself.
3. The system MUST NOT omit the Full LP JSON. It is a required output of every lesson plan generation run.</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The LO Handoff is no longer a separate document. It is contained within the Full LP JSON — specifically the period array with its implied_lo, c_code, cg, weight, and competency_text fields. The Assessment Constitution reads from this JSON directly.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6  ·  R7  ·  Pedagogical Approach Diversity</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employ diverse pedagogical approaches across periods, matching the approach type to the nature of the content section and the competency being developed. The set of valid approaches is defined exclusively by the pedagogical approach categories in the attached Pedagogy document for the subject and stage.</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The system MUST NOT default to the same activity type across multiple consecutive periods.
2. The system MUST NOT use pedagogical approach categories from outside the attached Pedagogy document.
3. The system MUST NOT choose an approach for variety alone — the approach must be appropriate to the section's content and the competency it develops.</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The Pedagogy document for each subject specifies different valid approach categories. This rule is generic — it references whichever document is attached. It never hard-codes Social Science approaches or any other subject-specific types.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7  ·  R9  ·  Inverted LO Flow — One Implied LO per Activity</w:t>
            </w:r>
          </w:p>
        </w:tc>
      </w:tr>
      <w:tr>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18"/>
                <w:szCs w:val="18"/>
              </w:rPr>
              <w:t xml:space="preserve">MANDATE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system MUST generate exactly one implied Learning Outcome per activity. The implied LO must be a single observable statement of what the student will demonstrably be able to do upon completing that specific activity. The LO is derived from the activity — it is the logical output of what the activity asks students to do, stated in terms of a student behaviour that a teacher can observe in the classroom.</w:t>
            </w:r>
          </w:p>
        </w:tc>
      </w:tr>
      <w:tr>
        <w:tc>
          <w:tcPr>
            <w:tcW w:type="dxa" w:w="1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top"/>
          </w:tcPr>
          <w:p>
            <w:r>
              <w:rPr>
                <w:rFonts w:ascii="Arial" w:cs="Arial" w:eastAsia="Arial" w:hAnsi="Arial"/>
                <w:b/>
                <w:bCs/>
                <w:color w:val="C00000"/>
                <w:sz w:val="18"/>
                <w:szCs w:val="18"/>
              </w:rPr>
              <w:t xml:space="preserve">PROHIBITION</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The system MUST NOT generate more than one implied LO per activity.
2. The system MUST NOT retrieve, match, or reference Learning Outcome documents as inputs. LOs are outputs of activity design, not inputs to it.
3. The system MUST NOT generate LOs that are restatements of the competency code or competency statement.
4. The system MUST NOT generate LOs that describe internal cognitive states ('students will understand...'). LOs must describe observable behaviours ('students will be able to explain...').</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595959"/>
                <w:sz w:val="18"/>
                <w:szCs w:val="18"/>
              </w:rPr>
              <w:t xml:space="preserve">NOTE</w:t>
            </w:r>
          </w:p>
        </w:tc>
        <w:tc>
          <w:tcPr>
            <w:tcW w:type="dxa" w:w="7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The LO derivation test: read the activity description. Ask — if a student completes this activity as designed, what is the one thing a teacher can observe them doing that they could not do before? That is the implied LO.</w:t>
            </w:r>
          </w:p>
        </w:tc>
      </w:tr>
    </w:tbl>
    <w:p>
      <w:pPr>
        <w:spacing w:before="160" w:after="80"/>
      </w:pPr>
      <w:r>
        <w:rPr>
          <w:rFonts w:ascii="Arial" w:cs="Arial" w:eastAsia="Arial" w:hAnsi="Arial"/>
          <w:b/>
          <w:bCs/>
          <w:color w:val="1F4E79"/>
          <w:sz w:val="22"/>
          <w:szCs w:val="22"/>
        </w:rPr>
        <w:t xml:space="preserve">Amendment A3 — Full LP JSON Schema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F0C040" w:sz="4"/>
              <w:left w:val="single" w:color="F0C040" w:sz="4"/>
              <w:bottom w:val="single" w:color="F0C040" w:sz="4"/>
              <w:right w:val="single" w:color="F0C040" w:sz="4"/>
            </w:tcBorders>
            <w:shd w:fill="F0C040" w:val="clear"/>
            <w:tcMar>
              <w:top w:type="dxa" w:w="60"/>
              <w:left w:type="dxa" w:w="120"/>
              <w:bottom w:type="dxa" w:w="60"/>
              <w:right w:type="dxa" w:w="120"/>
            </w:tcMar>
          </w:tcPr>
          <w:p>
            <w:r>
              <w:rPr>
                <w:rFonts w:ascii="Arial" w:cs="Arial" w:eastAsia="Arial" w:hAnsi="Arial"/>
                <w:b/>
                <w:bCs/>
                <w:color w:val="FFFFFF"/>
                <w:sz w:val="20"/>
                <w:szCs w:val="20"/>
              </w:rPr>
              <w:t xml:space="preserve">Amendment A3 — Full LP JSON Schema</w:t>
            </w:r>
          </w:p>
        </w:tc>
      </w:tr>
      <w:tr>
        <w:tc>
          <w:tcPr>
            <w:tcW w:type="dxa" w:w="9360"/>
            <w:tcBorders>
              <w:top w:val="single" w:color="F0C040" w:sz="4"/>
              <w:left w:val="single" w:color="F0C040" w:sz="4"/>
              <w:bottom w:val="single" w:color="F0C040" w:sz="4"/>
              <w:right w:val="single" w:color="F0C040" w:sz="4"/>
            </w:tcBorders>
            <w:shd w:fill="FFF2CC" w:val="clear"/>
            <w:tcMar>
              <w:top w:type="dxa" w:w="100"/>
              <w:left w:type="dxa" w:w="160"/>
              <w:bottom w:type="dxa" w:w="100"/>
              <w:right w:type="dxa" w:w="160"/>
            </w:tcMar>
          </w:tcPr>
          <w:p>
            <w:pPr>
              <w:spacing w:before="60" w:after="60"/>
            </w:pPr>
            <w:r>
              <w:rPr>
                <w:rFonts w:ascii="Arial" w:cs="Arial" w:eastAsia="Arial" w:hAnsi="Arial"/>
                <w:sz w:val="20"/>
                <w:szCs w:val="20"/>
              </w:rPr>
              <w:t xml:space="preserve">The system MUST produce the lesson plan output as a structured JSON object conforming exactly to this schema. This JSON is the single source of truth for online display, PDF generation, and the LO Handoff to the Assessment Constitution. No separate LO Handoff document is required — the period array within this JSON carries all LO Handoff data.</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The system MUST populate every field. Empty strings and empty arrays are not permitted for required fields.</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visual_aids must name any visual resource the activity naturally requires — such as a textbook figure, a printed map, or a board diagram — only where the lesson plan flow genuinely calls for it. It must be null if no visual aid is needed. The system MUST NOT invent visual aid requirements. Visual aids are part of the activity's resource needs, not a mandatory field.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4"/>
              <w:left w:val="single" w:color="404040" w:sz="4"/>
              <w:bottom w:val="single" w:color="404040" w:sz="4"/>
              <w:right w:val="single" w:color="404040" w:sz="4"/>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"grade": "string",</w:t>
            </w:r>
          </w:p>
          <w:p>
            <w:pPr>
              <w:spacing w:before="20" w:after="20"/>
            </w:pPr>
            <w:r>
              <w:rPr>
                <w:rFonts w:ascii="Courier New" w:cs="Courier New" w:eastAsia="Courier New" w:hAnsi="Courier New"/>
                <w:color w:val="D4D4D4"/>
                <w:sz w:val="18"/>
                <w:szCs w:val="18"/>
              </w:rPr>
              <w:t xml:space="preserve">  "subject": "string",</w:t>
            </w:r>
          </w:p>
          <w:p>
            <w:pPr>
              <w:spacing w:before="20" w:after="20"/>
            </w:pPr>
            <w:r>
              <w:rPr>
                <w:rFonts w:ascii="Courier New" w:cs="Courier New" w:eastAsia="Courier New" w:hAnsi="Courier New"/>
                <w:color w:val="D4D4D4"/>
                <w:sz w:val="18"/>
                <w:szCs w:val="18"/>
              </w:rPr>
              <w:t xml:space="preserve">  "chapter_number": "integer",</w:t>
            </w:r>
          </w:p>
          <w:p>
            <w:pPr>
              <w:spacing w:before="20" w:after="20"/>
            </w:pPr>
            <w:r>
              <w:rPr>
                <w:rFonts w:ascii="Courier New" w:cs="Courier New" w:eastAsia="Courier New" w:hAnsi="Courier New"/>
                <w:color w:val="D4D4D4"/>
                <w:sz w:val="18"/>
                <w:szCs w:val="18"/>
              </w:rPr>
              <w:t xml:space="preserve">  "chapter_title": "string",</w:t>
            </w:r>
          </w:p>
          <w:p>
            <w:pPr>
              <w:spacing w:before="20" w:after="20"/>
            </w:pPr>
            <w:r>
              <w:rPr>
                <w:rFonts w:ascii="Courier New" w:cs="Courier New" w:eastAsia="Courier New" w:hAnsi="Courier New"/>
                <w:color w:val="D4D4D4"/>
                <w:sz w:val="18"/>
                <w:szCs w:val="18"/>
              </w:rPr>
              <w:t xml:space="preserve">  "period_schedule": [</w:t>
            </w:r>
          </w:p>
          <w:p>
            <w:pPr>
              <w:spacing w:before="20" w:after="20"/>
            </w:pPr>
            <w:r>
              <w:rPr>
                <w:rFonts w:ascii="Courier New" w:cs="Courier New" w:eastAsia="Courier New" w:hAnsi="Courier New"/>
                <w:color w:val="D4D4D4"/>
                <w:sz w:val="18"/>
                <w:szCs w:val="18"/>
              </w:rPr>
              <w:t xml:space="preserve">    { "duration_minutes": "integer", "count": "integer"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"lesson_plan": {</w:t>
            </w:r>
          </w:p>
          <w:p>
            <w:pPr>
              <w:spacing w:before="20" w:after="20"/>
            </w:pPr>
            <w:r>
              <w:rPr>
                <w:rFonts w:ascii="Courier New" w:cs="Courier New" w:eastAsia="Courier New" w:hAnsi="Courier New"/>
                <w:color w:val="D4D4D4"/>
                <w:sz w:val="18"/>
                <w:szCs w:val="18"/>
              </w:rPr>
              <w:t xml:space="preserve">    "periods":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"period_number": "integer",</w:t>
            </w:r>
          </w:p>
          <w:p>
            <w:pPr>
              <w:spacing w:before="20" w:after="20"/>
            </w:pPr>
            <w:r>
              <w:rPr>
                <w:rFonts w:ascii="Courier New" w:cs="Courier New" w:eastAsia="Courier New" w:hAnsi="Courier New"/>
                <w:color w:val="D4D4D4"/>
                <w:sz w:val="18"/>
                <w:szCs w:val="18"/>
              </w:rPr>
              <w:t xml:space="preserve">        "period_duration_minutes": "integer",</w:t>
            </w:r>
          </w:p>
          <w:p>
            <w:pPr>
              <w:spacing w:before="20" w:after="20"/>
            </w:pPr>
            <w:r>
              <w:rPr>
                <w:rFonts w:ascii="Courier New" w:cs="Courier New" w:eastAsia="Courier New" w:hAnsi="Courier New"/>
                <w:color w:val="D4D4D4"/>
                <w:sz w:val="18"/>
                <w:szCs w:val="18"/>
              </w:rPr>
              <w:t xml:space="preserve">        "activity_name": "string  — short label for this period's activity",</w:t>
            </w:r>
          </w:p>
          <w:p>
            <w:pPr>
              <w:spacing w:before="20" w:after="20"/>
            </w:pPr>
            <w:r>
              <w:rPr>
                <w:rFonts w:ascii="Courier New" w:cs="Courier New" w:eastAsia="Courier New" w:hAnsi="Courier New"/>
                <w:color w:val="D4D4D4"/>
                <w:sz w:val="18"/>
                <w:szCs w:val="18"/>
              </w:rPr>
              <w:t xml:space="preserve">        "section_anchor": "string  — named chapter section this activity draws from",</w:t>
            </w:r>
          </w:p>
          <w:p>
            <w:pPr>
              <w:spacing w:before="20" w:after="20"/>
            </w:pPr>
            <w:r>
              <w:rPr>
                <w:rFonts w:ascii="Courier New" w:cs="Courier New" w:eastAsia="Courier New" w:hAnsi="Courier New"/>
                <w:color w:val="D4D4D4"/>
                <w:sz w:val="18"/>
                <w:szCs w:val="18"/>
              </w:rPr>
              <w:t xml:space="preserve">        "material": ["string", "..."],</w:t>
            </w:r>
          </w:p>
          <w:p>
            <w:pPr>
              <w:spacing w:before="20" w:after="20"/>
            </w:pPr>
            <w:r>
              <w:rPr>
                <w:rFonts w:ascii="Courier New" w:cs="Courier New" w:eastAsia="Courier New" w:hAnsi="Courier New"/>
                <w:color w:val="D4D4D4"/>
                <w:sz w:val="18"/>
                <w:szCs w:val="18"/>
              </w:rPr>
              <w:t xml:space="preserve">        "time_bands": [</w:t>
            </w:r>
          </w:p>
          <w:p>
            <w:pPr>
              <w:spacing w:before="20" w:after="20"/>
            </w:pPr>
            <w:r>
              <w:rPr>
                <w:rFonts w:ascii="Courier New" w:cs="Courier New" w:eastAsia="Courier New" w:hAnsi="Courier New"/>
                <w:color w:val="D4D4D4"/>
                <w:sz w:val="18"/>
                <w:szCs w:val="18"/>
              </w:rPr>
              <w:t xml:space="preserve">          { "minutes": "string e.g. 0-5", "activity": "string"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"implied_lo": "string  — single observable student behaviour",</w:t>
            </w:r>
          </w:p>
          <w:p>
            <w:pPr>
              <w:spacing w:before="20" w:after="20"/>
            </w:pPr>
            <w:r>
              <w:rPr>
                <w:rFonts w:ascii="Courier New" w:cs="Courier New" w:eastAsia="Courier New" w:hAnsi="Courier New"/>
                <w:color w:val="D4D4D4"/>
                <w:sz w:val="18"/>
                <w:szCs w:val="18"/>
              </w:rPr>
              <w:t xml:space="preserve">        "competency": {</w:t>
            </w:r>
          </w:p>
          <w:p>
            <w:pPr>
              <w:spacing w:before="20" w:after="20"/>
            </w:pPr>
            <w:r>
              <w:rPr>
                <w:rFonts w:ascii="Courier New" w:cs="Courier New" w:eastAsia="Courier New" w:hAnsi="Courier New"/>
                <w:color w:val="D4D4D4"/>
                <w:sz w:val="18"/>
                <w:szCs w:val="18"/>
              </w:rPr>
              <w:t xml:space="preserve">          "c_code": "string",</w:t>
            </w:r>
          </w:p>
          <w:p>
            <w:pPr>
              <w:spacing w:before="20" w:after="20"/>
            </w:pPr>
            <w:r>
              <w:rPr>
                <w:rFonts w:ascii="Courier New" w:cs="Courier New" w:eastAsia="Courier New" w:hAnsi="Courier New"/>
                <w:color w:val="D4D4D4"/>
                <w:sz w:val="18"/>
                <w:szCs w:val="18"/>
              </w:rPr>
              <w:t xml:space="preserve">          "cg": "string",</w:t>
            </w:r>
          </w:p>
          <w:p>
            <w:pPr>
              <w:spacing w:before="20" w:after="20"/>
            </w:pPr>
            <w:r>
              <w:rPr>
                <w:rFonts w:ascii="Courier New" w:cs="Courier New" w:eastAsia="Courier New" w:hAnsi="Courier New"/>
                <w:color w:val="D4D4D4"/>
                <w:sz w:val="18"/>
                <w:szCs w:val="18"/>
              </w:rPr>
              <w:t xml:space="preserve">          "weight": "integer  — 3 | 2 | 1",</w:t>
            </w:r>
          </w:p>
          <w:p>
            <w:pPr>
              <w:spacing w:before="20" w:after="20"/>
            </w:pPr>
            <w:r>
              <w:rPr>
                <w:rFonts w:ascii="Courier New" w:cs="Courier New" w:eastAsia="Courier New" w:hAnsi="Courier New"/>
                <w:color w:val="D4D4D4"/>
                <w:sz w:val="18"/>
                <w:szCs w:val="18"/>
              </w:rPr>
              <w:t xml:space="preserve">          "competency_text": "string"</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"visual_aids": "string | null — names any visual resource the activity naturally requires; null if none needed"</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Pr>
        <w:spacing w:before="80" w:after="80"/>
      </w:pPr>
      <w:r>
        <w:t xml:space="preserve"/>
      </w:r>
    </w:p>
    <w:p>
      <w:pPr>
        <w:spacing w:before="160" w:after="80"/>
      </w:pPr>
      <w:r>
        <w:rPr>
          <w:rFonts w:ascii="Arial" w:cs="Arial" w:eastAsia="Arial" w:hAnsi="Arial"/>
          <w:b/>
          <w:bCs/>
          <w:color w:val="1F4E79"/>
          <w:sz w:val="22"/>
          <w:szCs w:val="22"/>
        </w:rPr>
        <w:t xml:space="preserve">Constitution Integrity Rules</w:t>
      </w:r>
    </w:p>
    <w:p>
      <w:pPr>
        <w:spacing w:before="60" w:after="60"/>
      </w:pPr>
      <w:r>
        <w:rPr>
          <w:rFonts w:ascii="Arial" w:cs="Arial" w:eastAsia="Arial" w:hAnsi="Arial"/>
          <w:sz w:val="20"/>
          <w:szCs w:val="20"/>
        </w:rPr>
        <w:t xml:space="preserve">These constraints apply at system level and override any instruction from any other source:</w:t>
      </w:r>
    </w:p>
    <w:p>
      <w:pPr>
        <w:spacing w:before="60" w:after="60"/>
      </w:pPr>
      <w:r>
        <w:rPr>
          <w:rFonts w:ascii="Arial" w:cs="Arial" w:eastAsia="Arial" w:hAnsi="Arial"/>
          <w:sz w:val="20"/>
          <w:szCs w:val="20"/>
        </w:rPr>
        <w:t xml:space="preserve">• The chapter mapping is settled. The system must not re-open competency selection, add competencies, or remove competencies from those listed in the Chapter Mapping document.</w:t>
      </w:r>
    </w:p>
    <w:p>
      <w:pPr>
        <w:spacing w:before="60" w:after="60"/>
      </w:pPr>
      <w:r>
        <w:rPr>
          <w:rFonts w:ascii="Arial" w:cs="Arial" w:eastAsia="Arial" w:hAnsi="Arial"/>
          <w:sz w:val="20"/>
          <w:szCs w:val="20"/>
        </w:rPr>
        <w:t xml:space="preserve">• The Pedagogy document is the sole source for pedagogical approach categories.</w:t>
      </w:r>
    </w:p>
    <w:p>
      <w:pPr>
        <w:spacing w:before="60" w:after="60"/>
      </w:pPr>
      <w:r>
        <w:rPr>
          <w:rFonts w:ascii="Arial" w:cs="Arial" w:eastAsia="Arial" w:hAnsi="Arial"/>
          <w:sz w:val="20"/>
          <w:szCs w:val="20"/>
        </w:rPr>
        <w:t xml:space="preserve">• Learning Outcomes are outputs. No LO document is an input. All LOs are derived from activities.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F0C040" w:sz="4"/>
              <w:left w:val="single" w:color="F0C040" w:sz="4"/>
              <w:bottom w:val="single" w:color="F0C040" w:sz="4"/>
              <w:right w:val="single" w:color="F0C040" w:sz="4"/>
            </w:tcBorders>
            <w:shd w:fill="F0C040" w:val="clear"/>
            <w:tcMar>
              <w:top w:type="dxa" w:w="60"/>
              <w:left w:type="dxa" w:w="120"/>
              <w:bottom w:type="dxa" w:w="60"/>
              <w:right w:type="dxa" w:w="120"/>
            </w:tcMar>
          </w:tcPr>
          <w:p>
            <w:r>
              <w:rPr>
                <w:rFonts w:ascii="Arial" w:cs="Arial" w:eastAsia="Arial" w:hAnsi="Arial"/>
                <w:b/>
                <w:bCs/>
                <w:color w:val="FFFFFF"/>
                <w:sz w:val="20"/>
                <w:szCs w:val="20"/>
              </w:rPr>
              <w:t xml:space="preserve">Amended (A1) — Time Constraint Rule</w:t>
            </w:r>
          </w:p>
        </w:tc>
      </w:tr>
      <w:tr>
        <w:tc>
          <w:tcPr>
            <w:tcW w:type="dxa" w:w="9360"/>
            <w:tcBorders>
              <w:top w:val="single" w:color="F0C040" w:sz="4"/>
              <w:left w:val="single" w:color="F0C040" w:sz="4"/>
              <w:bottom w:val="single" w:color="F0C040" w:sz="4"/>
              <w:right w:val="single" w:color="F0C040" w:sz="4"/>
            </w:tcBorders>
            <w:shd w:fill="FFF2CC" w:val="clear"/>
            <w:tcMar>
              <w:top w:type="dxa" w:w="100"/>
              <w:left w:type="dxa" w:w="160"/>
              <w:bottom w:type="dxa" w:w="100"/>
              <w:right w:type="dxa" w:w="160"/>
            </w:tcMar>
          </w:tcPr>
          <w:p>
            <w:pPr>
              <w:spacing w:before="60" w:after="60"/>
            </w:pPr>
            <w:r>
              <w:rPr>
                <w:rFonts w:ascii="Arial" w:cs="Arial" w:eastAsia="Arial" w:hAnsi="Arial"/>
                <w:sz w:val="20"/>
                <w:szCs w:val="20"/>
              </w:rPr>
              <w:t xml:space="preserve">Time is a hard constraint. The teacher's period schedule governs the plan's structure absolutely. Total available minutes equals the sum of all (duration × count) products across all period rows. Total period count equals the sum of all row counts. Each period in the plan is assigned exactly one activity. Activity depth must be calibrated to the specific duration of its period. The system may not exceed the total period count. The full budget is for teaching. There is no assessment time inside this budget.</w:t>
            </w:r>
          </w:p>
        </w:tc>
      </w:tr>
    </w:tbl>
    <w:p>
      <w:pPr>
        <w:spacing w:before="80" w:after="80"/>
      </w:pPr>
      <w:r>
        <w:t xml:space="preserve"/>
      </w:r>
    </w:p>
    <w:p>
      <w:pPr>
        <w:spacing w:before="60" w:after="60"/>
      </w:pPr>
      <w:r>
        <w:rPr>
          <w:rFonts w:ascii="Arial" w:cs="Arial" w:eastAsia="Arial" w:hAnsi="Arial"/>
          <w:sz w:val="20"/>
          <w:szCs w:val="20"/>
        </w:rPr>
        <w:t xml:space="preserve">• The section anchoring requirement in Rule 3 is absolute. There are no exceptions for introductory, transition, or review activities.</w:t>
      </w:r>
    </w:p>
    <w:p>
      <w:pPr>
        <w:spacing w:before="60" w:after="60"/>
      </w:pPr>
      <w:r>
        <w:rPr>
          <w:rFonts w:ascii="Arial" w:cs="Arial" w:eastAsia="Arial" w:hAnsi="Arial"/>
          <w:sz w:val="20"/>
          <w:szCs w:val="20"/>
        </w:rPr>
        <w:t xml:space="preserve">• These rules are generic. They apply identically to Social Science, Mathematics, Language, and Science. No subject-specific exceptions are permitted at the constitutional level.</w:t>
      </w:r>
    </w:p>
    <w:p>
      <w:pPr>
        <w:spacing w:before="80" w:after="80"/>
      </w:pPr>
      <w:r>
        <w:t xml:space="preserve"/>
      </w:r>
    </w:p>
    <w:p>
      <w:pPr>
        <w:spacing w:before="160" w:after="80"/>
      </w:pPr>
      <w:r>
        <w:rPr>
          <w:rFonts w:ascii="Arial" w:cs="Arial" w:eastAsia="Arial" w:hAnsi="Arial"/>
          <w:b/>
          <w:bCs/>
          <w:color w:val="1F4E79"/>
          <w:sz w:val="22"/>
          <w:szCs w:val="22"/>
        </w:rPr>
        <w:t xml:space="preserve">Rule Reference Summary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c>
          <w:tcPr>
            <w:tcW w:type="dxa" w:w="9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59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Core Mechanism</w:t>
            </w:r>
          </w:p>
        </w:tc>
      </w:tr>
      <w:tr>
        <w:tc>
          <w:tcPr>
            <w:tcW w:type="dxa" w:w="9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sz w:val="18"/>
                <w:szCs w:val="18"/>
              </w:rPr>
              <w:t xml:space="preserve">1  ·  R1</w:t>
            </w:r>
          </w:p>
        </w:tc>
        <w:tc>
          <w:tcPr>
            <w:tcW w:type="dxa" w:w="25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sz w:val="18"/>
                <w:szCs w:val="18"/>
              </w:rPr>
              <w:t xml:space="preserve">Content-Driven Age Calibration</w:t>
            </w:r>
          </w:p>
        </w:tc>
        <w:tc>
          <w:tcPr>
            <w:tcW w:type="dxa" w:w="59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sz w:val="18"/>
                <w:szCs w:val="18"/>
              </w:rPr>
              <w:t xml:space="preserve">Chapter Summary = age signal; Pedagogy doc = method only</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2  ·  R2</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Pedagogical Cognitive Floor</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Every activity requires students to apply, analyse, construct, or produce</w:t>
            </w:r>
          </w:p>
        </w:tc>
      </w:tr>
      <w:tr>
        <w:tc>
          <w:tcPr>
            <w:tcW w:type="dxa" w:w="9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sz w:val="18"/>
                <w:szCs w:val="18"/>
              </w:rPr>
              <w:t xml:space="preserve">3  ·  R3</w:t>
            </w:r>
          </w:p>
        </w:tc>
        <w:tc>
          <w:tcPr>
            <w:tcW w:type="dxa" w:w="25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sz w:val="18"/>
                <w:szCs w:val="18"/>
              </w:rPr>
              <w:t xml:space="preserve">Strict Section Anchoring</w:t>
            </w:r>
          </w:p>
        </w:tc>
        <w:tc>
          <w:tcPr>
            <w:tcW w:type="dxa" w:w="59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sz w:val="18"/>
                <w:szCs w:val="18"/>
              </w:rPr>
              <w:t xml:space="preserve">Every activity traceable to a named chapter section; full chapter traversed</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4  ·  R4+R5</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Competency Emphasis and Full-Chapter Coverage</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All primary competencies get ≥1 activity; higher weight = greater emphasis</w:t>
            </w:r>
          </w:p>
        </w:tc>
      </w:tr>
      <w:tr>
        <w:tc>
          <w:tcPr>
            <w:tcW w:type="dxa" w:w="9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sz w:val="18"/>
                <w:szCs w:val="18"/>
              </w:rPr>
              <w:t xml:space="preserve">5  ·  R6</w:t>
            </w:r>
          </w:p>
        </w:tc>
        <w:tc>
          <w:tcPr>
            <w:tcW w:type="dxa" w:w="25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sz w:val="18"/>
                <w:szCs w:val="18"/>
              </w:rPr>
              <w:t xml:space="preserve">Full LP JSON Output</w:t>
            </w:r>
          </w:p>
        </w:tc>
        <w:tc>
          <w:tcPr>
            <w:tcW w:type="dxa" w:w="59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sz w:val="18"/>
                <w:szCs w:val="18"/>
              </w:rPr>
              <w:t xml:space="preserve">Full period budget = teaching; LP JSON produced as primary structured output (A3)</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6  ·  R7</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Pedagogical Approach Diversity</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18"/>
                <w:szCs w:val="18"/>
              </w:rPr>
              <w:t xml:space="preserve">Diverse approaches per period; drawn from attached Pedagogy doc only</w:t>
            </w:r>
          </w:p>
        </w:tc>
      </w:tr>
      <w:tr>
        <w:tc>
          <w:tcPr>
            <w:tcW w:type="dxa" w:w="9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sz w:val="18"/>
                <w:szCs w:val="18"/>
              </w:rPr>
              <w:t xml:space="preserve">7  ·  R9</w:t>
            </w:r>
          </w:p>
        </w:tc>
        <w:tc>
          <w:tcPr>
            <w:tcW w:type="dxa" w:w="25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sz w:val="18"/>
                <w:szCs w:val="18"/>
              </w:rPr>
              <w:t xml:space="preserve">Inverted LO Flow</w:t>
            </w:r>
          </w:p>
        </w:tc>
        <w:tc>
          <w:tcPr>
            <w:tcW w:type="dxa" w:w="59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sz w:val="18"/>
                <w:szCs w:val="18"/>
              </w:rPr>
              <w:t xml:space="preserve">One implied observable LO per activity; derived not retrieved</w:t>
            </w:r>
          </w:p>
        </w:tc>
      </w:tr>
    </w:tbl>
    <w:p>
      <w:pPr>
        <w:spacing w:before="80" w:after="80"/>
      </w:pPr>
      <w:r>
        <w:t xml:space="preserve"/>
      </w:r>
    </w:p>
    <w:p>
      <w:pPr>
        <w:spacing w:before="60" w:after="60"/>
      </w:pPr>
      <w:r>
        <w:rPr>
          <w:rFonts w:ascii="Arial" w:cs="Arial" w:eastAsia="Arial" w:hAnsi="Arial"/>
          <w:i/>
          <w:iCs/>
          <w:color w:val="444444"/>
          <w:sz w:val="20"/>
          <w:szCs w:val="20"/>
        </w:rPr>
        <w:t xml:space="preserve">Aruvi · NCF 2023-Aligned Pedagogical Platform · Lesson Plan Generation Constitution · Version 1.4 · Seven rules · Internal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18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2026-03-24T13:14:33.495Z</dcterms:created>
  <dcterms:modified xsi:type="dcterms:W3CDTF">2026-03-24T13:14:33.495Z</dcterms:modified>
</cp:coreProperties>
</file>

<file path=docProps/custom.xml><?xml version="1.0" encoding="utf-8"?>
<Properties xmlns="http://schemas.openxmlformats.org/officeDocument/2006/custom-properties" xmlns:vt="http://schemas.openxmlformats.org/officeDocument/2006/docPropsVTypes"/>
</file>