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7D0F" w14:textId="77777777" w:rsidR="0089639C" w:rsidRDefault="0089639C" w:rsidP="0089639C">
      <w:pPr>
        <w:jc w:val="center"/>
      </w:pPr>
      <w:r>
        <w:rPr>
          <w:rFonts w:ascii="Aptos Display" w:hAnsi="Aptos Display"/>
          <w:b/>
          <w:color w:val="17365D"/>
          <w:sz w:val="52"/>
        </w:rPr>
        <w:t>Manager Day Approved Reference Pack</w:t>
      </w:r>
    </w:p>
    <w:p w14:paraId="133C5ABB" w14:textId="77777777" w:rsidR="0089639C" w:rsidRDefault="0089639C" w:rsidP="0089639C">
      <w:pPr>
        <w:jc w:val="center"/>
      </w:pPr>
      <w:r>
        <w:rPr>
          <w:color w:val="0F6CBD"/>
          <w:sz w:val="24"/>
        </w:rPr>
        <w:t>Contoso sample • AI-first presales and technical-delivery principles</w:t>
      </w:r>
    </w:p>
    <w:tbl>
      <w:tblPr>
        <w:tblW w:w="0" w:type="auto"/>
        <w:jc w:val="center"/>
        <w:tblLayout w:type="fixed"/>
        <w:tblLook w:val="04A0" w:firstRow="1" w:lastRow="0" w:firstColumn="1" w:lastColumn="0" w:noHBand="0" w:noVBand="1"/>
      </w:tblPr>
      <w:tblGrid>
        <w:gridCol w:w="10224"/>
      </w:tblGrid>
      <w:tr w:rsidR="0089639C" w14:paraId="52832312" w14:textId="77777777" w:rsidTr="00492DDB">
        <w:trPr>
          <w:jc w:val="center"/>
        </w:trPr>
        <w:tc>
          <w:tcPr>
            <w:tcW w:w="10224" w:type="dxa"/>
            <w:shd w:val="clear" w:color="auto" w:fill="EAF3F8"/>
            <w:tcMar>
              <w:top w:w="100" w:type="dxa"/>
              <w:left w:w="120" w:type="dxa"/>
              <w:bottom w:w="100" w:type="dxa"/>
              <w:right w:w="120" w:type="dxa"/>
            </w:tcMar>
            <w:vAlign w:val="center"/>
          </w:tcPr>
          <w:p w14:paraId="0D7166D8" w14:textId="77777777" w:rsidR="0089639C" w:rsidRDefault="0089639C" w:rsidP="00492DDB">
            <w:pPr>
              <w:jc w:val="center"/>
            </w:pPr>
            <w:r>
              <w:rPr>
                <w:b/>
                <w:color w:val="17365D"/>
              </w:rPr>
              <w:t>SAMPLE / FICTIONAL • Manager Day AI-First Proposal Challenge</w:t>
            </w:r>
          </w:p>
        </w:tc>
      </w:tr>
    </w:tbl>
    <w:p w14:paraId="0BE55B31" w14:textId="77777777" w:rsidR="0089639C" w:rsidRDefault="0089639C" w:rsidP="0089639C"/>
    <w:p w14:paraId="78E810D5" w14:textId="77777777" w:rsidR="0089639C" w:rsidRDefault="0089639C" w:rsidP="0089639C">
      <w:pPr>
        <w:pStyle w:val="Heading1"/>
      </w:pPr>
      <w:r>
        <w:t>1. Status and permitted use</w:t>
      </w:r>
    </w:p>
    <w:p w14:paraId="79DAB7C2" w14:textId="77777777" w:rsidR="0089639C" w:rsidRDefault="0089639C" w:rsidP="0089639C">
      <w:r>
        <w:t>This document is a workshop sample, not an official product commitment, architecture standard, security approval, pricing quote, or customer contract. It gives all teams the same decision principles. Where product capability or pricing matters, teams must identify the authoritative source and validation step.</w:t>
      </w:r>
    </w:p>
    <w:p w14:paraId="56C87B65" w14:textId="77777777" w:rsidR="0089639C" w:rsidRDefault="0089639C" w:rsidP="0089639C">
      <w:pPr>
        <w:pStyle w:val="Heading1"/>
      </w:pPr>
      <w:r>
        <w:t>2. AI-first value principles</w:t>
      </w:r>
    </w:p>
    <w:p w14:paraId="6432BD83" w14:textId="77777777" w:rsidR="0089639C" w:rsidRDefault="0089639C" w:rsidP="0089639C">
      <w:pPr>
        <w:pStyle w:val="ListBullet"/>
        <w:tabs>
          <w:tab w:val="num" w:pos="360"/>
        </w:tabs>
        <w:ind w:left="360" w:hanging="360"/>
      </w:pPr>
      <w:r>
        <w:t>Apply AI when it accelerates customer outcomes, reduces avoidable manual effort, improves consistency, or enables a better experience.</w:t>
      </w:r>
    </w:p>
    <w:p w14:paraId="099D330B" w14:textId="77777777" w:rsidR="0089639C" w:rsidRDefault="0089639C" w:rsidP="0089639C">
      <w:pPr>
        <w:pStyle w:val="ListBullet"/>
        <w:tabs>
          <w:tab w:val="num" w:pos="360"/>
        </w:tabs>
        <w:ind w:left="360" w:hanging="360"/>
      </w:pPr>
      <w:r>
        <w:t>Create reusable workflows, prompts, evaluations, components, and delivery assets rather than isolated demonstrations.</w:t>
      </w:r>
    </w:p>
    <w:p w14:paraId="6EBBE869" w14:textId="77777777" w:rsidR="0089639C" w:rsidRDefault="0089639C" w:rsidP="0089639C">
      <w:pPr>
        <w:pStyle w:val="ListBullet"/>
        <w:tabs>
          <w:tab w:val="num" w:pos="360"/>
        </w:tabs>
        <w:ind w:left="360" w:hanging="360"/>
      </w:pPr>
      <w:r>
        <w:t>Keep human expertise central for ambiguous, consequential, safety-related, contractual, or customer-commitment decisions.</w:t>
      </w:r>
    </w:p>
    <w:p w14:paraId="39D005EC" w14:textId="77777777" w:rsidR="0089639C" w:rsidRDefault="0089639C" w:rsidP="0089639C">
      <w:pPr>
        <w:pStyle w:val="ListBullet"/>
        <w:tabs>
          <w:tab w:val="num" w:pos="360"/>
        </w:tabs>
        <w:ind w:left="360" w:hanging="360"/>
      </w:pPr>
      <w:r>
        <w:t>Measure value through customer outcomes and total operating economics, not through tool adoption or content volume alone.</w:t>
      </w:r>
    </w:p>
    <w:p w14:paraId="7C7FF949" w14:textId="77777777" w:rsidR="0089639C" w:rsidRDefault="0089639C" w:rsidP="0089639C">
      <w:pPr>
        <w:pStyle w:val="ListBullet"/>
        <w:tabs>
          <w:tab w:val="num" w:pos="360"/>
        </w:tabs>
        <w:ind w:left="360" w:hanging="360"/>
      </w:pPr>
      <w:r>
        <w:t>Design governance, security, quality, handoff, and operations into the proposal from the start.</w:t>
      </w:r>
    </w:p>
    <w:p w14:paraId="548B5B75" w14:textId="77777777" w:rsidR="0089639C" w:rsidRDefault="0089639C" w:rsidP="0089639C">
      <w:pPr>
        <w:pStyle w:val="Heading1"/>
      </w:pPr>
      <w:r>
        <w:t>3. Cost-optimization checklist</w:t>
      </w:r>
    </w:p>
    <w:tbl>
      <w:tblPr>
        <w:tblStyle w:val="TableGrid"/>
        <w:tblW w:w="0" w:type="auto"/>
        <w:jc w:val="center"/>
        <w:tblLook w:val="04A0" w:firstRow="1" w:lastRow="0" w:firstColumn="1" w:lastColumn="0" w:noHBand="0" w:noVBand="1"/>
      </w:tblPr>
      <w:tblGrid>
        <w:gridCol w:w="5107"/>
        <w:gridCol w:w="5107"/>
      </w:tblGrid>
      <w:tr w:rsidR="0089639C" w14:paraId="008FA839" w14:textId="77777777" w:rsidTr="00492DDB">
        <w:trPr>
          <w:tblHeader/>
          <w:jc w:val="center"/>
        </w:trPr>
        <w:tc>
          <w:tcPr>
            <w:tcW w:w="5112" w:type="dxa"/>
            <w:shd w:val="clear" w:color="auto" w:fill="17365D"/>
            <w:tcMar>
              <w:top w:w="100" w:type="dxa"/>
              <w:left w:w="120" w:type="dxa"/>
              <w:bottom w:w="100" w:type="dxa"/>
              <w:right w:w="120" w:type="dxa"/>
            </w:tcMar>
            <w:vAlign w:val="center"/>
          </w:tcPr>
          <w:p w14:paraId="01406DC0" w14:textId="77777777" w:rsidR="0089639C" w:rsidRDefault="0089639C" w:rsidP="00492DDB">
            <w:r>
              <w:rPr>
                <w:b/>
                <w:color w:val="FFFFFF"/>
                <w:sz w:val="18"/>
              </w:rPr>
              <w:t>Area</w:t>
            </w:r>
          </w:p>
        </w:tc>
        <w:tc>
          <w:tcPr>
            <w:tcW w:w="5112" w:type="dxa"/>
            <w:shd w:val="clear" w:color="auto" w:fill="17365D"/>
            <w:tcMar>
              <w:top w:w="100" w:type="dxa"/>
              <w:left w:w="120" w:type="dxa"/>
              <w:bottom w:w="100" w:type="dxa"/>
              <w:right w:w="120" w:type="dxa"/>
            </w:tcMar>
            <w:vAlign w:val="center"/>
          </w:tcPr>
          <w:p w14:paraId="1FBF14DA" w14:textId="77777777" w:rsidR="0089639C" w:rsidRDefault="0089639C" w:rsidP="00492DDB">
            <w:r>
              <w:rPr>
                <w:b/>
                <w:color w:val="FFFFFF"/>
                <w:sz w:val="18"/>
              </w:rPr>
              <w:t>Approved judging principle</w:t>
            </w:r>
          </w:p>
        </w:tc>
      </w:tr>
      <w:tr w:rsidR="0089639C" w14:paraId="471D81AF" w14:textId="77777777" w:rsidTr="00492DDB">
        <w:trPr>
          <w:jc w:val="center"/>
        </w:trPr>
        <w:tc>
          <w:tcPr>
            <w:tcW w:w="5112" w:type="dxa"/>
            <w:tcMar>
              <w:top w:w="100" w:type="dxa"/>
              <w:left w:w="120" w:type="dxa"/>
              <w:bottom w:w="100" w:type="dxa"/>
              <w:right w:w="120" w:type="dxa"/>
            </w:tcMar>
            <w:vAlign w:val="center"/>
          </w:tcPr>
          <w:p w14:paraId="22353417" w14:textId="77777777" w:rsidR="0089639C" w:rsidRDefault="0089639C" w:rsidP="00492DDB">
            <w:r>
              <w:rPr>
                <w:b/>
                <w:color w:val="17365D"/>
                <w:sz w:val="18"/>
              </w:rPr>
              <w:t>Scope and phasing</w:t>
            </w:r>
          </w:p>
        </w:tc>
        <w:tc>
          <w:tcPr>
            <w:tcW w:w="5112" w:type="dxa"/>
            <w:tcMar>
              <w:top w:w="100" w:type="dxa"/>
              <w:left w:w="120" w:type="dxa"/>
              <w:bottom w:w="100" w:type="dxa"/>
              <w:right w:w="120" w:type="dxa"/>
            </w:tcMar>
            <w:vAlign w:val="center"/>
          </w:tcPr>
          <w:p w14:paraId="6E1C19FA" w14:textId="77777777" w:rsidR="0089639C" w:rsidRDefault="0089639C" w:rsidP="00492DDB">
            <w:r>
              <w:rPr>
                <w:sz w:val="18"/>
              </w:rPr>
              <w:t>Start with a bounded MVP tied to a measurable decision. Defer low-value integrations and advanced automation until evidence supports them.</w:t>
            </w:r>
          </w:p>
        </w:tc>
      </w:tr>
      <w:tr w:rsidR="0089639C" w14:paraId="273AD5A1" w14:textId="77777777" w:rsidTr="00492DDB">
        <w:trPr>
          <w:jc w:val="center"/>
        </w:trPr>
        <w:tc>
          <w:tcPr>
            <w:tcW w:w="5112" w:type="dxa"/>
            <w:tcMar>
              <w:top w:w="100" w:type="dxa"/>
              <w:left w:w="120" w:type="dxa"/>
              <w:bottom w:w="100" w:type="dxa"/>
              <w:right w:w="120" w:type="dxa"/>
            </w:tcMar>
            <w:vAlign w:val="center"/>
          </w:tcPr>
          <w:p w14:paraId="5204E5C6" w14:textId="77777777" w:rsidR="0089639C" w:rsidRDefault="0089639C" w:rsidP="00492DDB">
            <w:r>
              <w:rPr>
                <w:b/>
                <w:color w:val="17365D"/>
                <w:sz w:val="18"/>
              </w:rPr>
              <w:t>Reuse</w:t>
            </w:r>
          </w:p>
        </w:tc>
        <w:tc>
          <w:tcPr>
            <w:tcW w:w="5112" w:type="dxa"/>
            <w:tcMar>
              <w:top w:w="100" w:type="dxa"/>
              <w:left w:w="120" w:type="dxa"/>
              <w:bottom w:w="100" w:type="dxa"/>
              <w:right w:w="120" w:type="dxa"/>
            </w:tcMar>
            <w:vAlign w:val="center"/>
          </w:tcPr>
          <w:p w14:paraId="20EFB68C" w14:textId="77777777" w:rsidR="0089639C" w:rsidRDefault="0089639C" w:rsidP="00492DDB">
            <w:r>
              <w:rPr>
                <w:sz w:val="18"/>
              </w:rPr>
              <w:t>Use approved platform capabilities, reusable patterns, shared components, and existing operational processes where they fit.</w:t>
            </w:r>
          </w:p>
        </w:tc>
      </w:tr>
      <w:tr w:rsidR="0089639C" w14:paraId="15CF426D" w14:textId="77777777" w:rsidTr="00492DDB">
        <w:trPr>
          <w:jc w:val="center"/>
        </w:trPr>
        <w:tc>
          <w:tcPr>
            <w:tcW w:w="5112" w:type="dxa"/>
            <w:tcMar>
              <w:top w:w="100" w:type="dxa"/>
              <w:left w:w="120" w:type="dxa"/>
              <w:bottom w:w="100" w:type="dxa"/>
              <w:right w:w="120" w:type="dxa"/>
            </w:tcMar>
            <w:vAlign w:val="center"/>
          </w:tcPr>
          <w:p w14:paraId="172240E1" w14:textId="77777777" w:rsidR="0089639C" w:rsidRDefault="0089639C" w:rsidP="00492DDB">
            <w:r>
              <w:rPr>
                <w:b/>
                <w:color w:val="17365D"/>
                <w:sz w:val="18"/>
              </w:rPr>
              <w:t>Model and inference</w:t>
            </w:r>
          </w:p>
        </w:tc>
        <w:tc>
          <w:tcPr>
            <w:tcW w:w="5112" w:type="dxa"/>
            <w:tcMar>
              <w:top w:w="100" w:type="dxa"/>
              <w:left w:w="120" w:type="dxa"/>
              <w:bottom w:w="100" w:type="dxa"/>
              <w:right w:w="120" w:type="dxa"/>
            </w:tcMar>
            <w:vAlign w:val="center"/>
          </w:tcPr>
          <w:p w14:paraId="181FC4D8" w14:textId="77777777" w:rsidR="0089639C" w:rsidRDefault="0089639C" w:rsidP="00492DDB">
            <w:r>
              <w:rPr>
                <w:sz w:val="18"/>
              </w:rPr>
              <w:t xml:space="preserve">Match model capability </w:t>
            </w:r>
            <w:proofErr w:type="gramStart"/>
            <w:r>
              <w:rPr>
                <w:sz w:val="18"/>
              </w:rPr>
              <w:t>to</w:t>
            </w:r>
            <w:proofErr w:type="gramEnd"/>
            <w:r>
              <w:rPr>
                <w:sz w:val="18"/>
              </w:rPr>
              <w:t xml:space="preserve"> task complexity; control context size, call frequency, </w:t>
            </w:r>
            <w:proofErr w:type="gramStart"/>
            <w:r>
              <w:rPr>
                <w:sz w:val="18"/>
              </w:rPr>
              <w:t>retries</w:t>
            </w:r>
            <w:proofErr w:type="gramEnd"/>
            <w:r>
              <w:rPr>
                <w:sz w:val="18"/>
              </w:rPr>
              <w:t>, caching, routing, and non-AI fallbacks.</w:t>
            </w:r>
          </w:p>
        </w:tc>
      </w:tr>
      <w:tr w:rsidR="0089639C" w14:paraId="1551EFCD" w14:textId="77777777" w:rsidTr="00492DDB">
        <w:trPr>
          <w:jc w:val="center"/>
        </w:trPr>
        <w:tc>
          <w:tcPr>
            <w:tcW w:w="5112" w:type="dxa"/>
            <w:tcMar>
              <w:top w:w="100" w:type="dxa"/>
              <w:left w:w="120" w:type="dxa"/>
              <w:bottom w:w="100" w:type="dxa"/>
              <w:right w:w="120" w:type="dxa"/>
            </w:tcMar>
            <w:vAlign w:val="center"/>
          </w:tcPr>
          <w:p w14:paraId="4B340CAA" w14:textId="77777777" w:rsidR="0089639C" w:rsidRDefault="0089639C" w:rsidP="00492DDB">
            <w:r>
              <w:rPr>
                <w:b/>
                <w:color w:val="17365D"/>
                <w:sz w:val="18"/>
              </w:rPr>
              <w:lastRenderedPageBreak/>
              <w:t>Data and retrieval</w:t>
            </w:r>
          </w:p>
        </w:tc>
        <w:tc>
          <w:tcPr>
            <w:tcW w:w="5112" w:type="dxa"/>
            <w:tcMar>
              <w:top w:w="100" w:type="dxa"/>
              <w:left w:w="120" w:type="dxa"/>
              <w:bottom w:w="100" w:type="dxa"/>
              <w:right w:w="120" w:type="dxa"/>
            </w:tcMar>
            <w:vAlign w:val="center"/>
          </w:tcPr>
          <w:p w14:paraId="26D6B106" w14:textId="77777777" w:rsidR="0089639C" w:rsidRDefault="0089639C" w:rsidP="00492DDB">
            <w:r>
              <w:rPr>
                <w:sz w:val="18"/>
              </w:rPr>
              <w:t>Curate high-value sources, apply metadata and access trimming, define refresh and conflict rules, and avoid indexing content without a use case.</w:t>
            </w:r>
          </w:p>
        </w:tc>
      </w:tr>
      <w:tr w:rsidR="0089639C" w14:paraId="4BD0359E" w14:textId="77777777" w:rsidTr="00492DDB">
        <w:trPr>
          <w:jc w:val="center"/>
        </w:trPr>
        <w:tc>
          <w:tcPr>
            <w:tcW w:w="5112" w:type="dxa"/>
            <w:tcMar>
              <w:top w:w="100" w:type="dxa"/>
              <w:left w:w="120" w:type="dxa"/>
              <w:bottom w:w="100" w:type="dxa"/>
              <w:right w:w="120" w:type="dxa"/>
            </w:tcMar>
            <w:vAlign w:val="center"/>
          </w:tcPr>
          <w:p w14:paraId="03693CEE" w14:textId="77777777" w:rsidR="0089639C" w:rsidRDefault="0089639C" w:rsidP="00492DDB">
            <w:r>
              <w:rPr>
                <w:b/>
                <w:color w:val="17365D"/>
                <w:sz w:val="18"/>
              </w:rPr>
              <w:t>Engineering</w:t>
            </w:r>
          </w:p>
        </w:tc>
        <w:tc>
          <w:tcPr>
            <w:tcW w:w="5112" w:type="dxa"/>
            <w:tcMar>
              <w:top w:w="100" w:type="dxa"/>
              <w:left w:w="120" w:type="dxa"/>
              <w:bottom w:w="100" w:type="dxa"/>
              <w:right w:w="120" w:type="dxa"/>
            </w:tcMar>
            <w:vAlign w:val="center"/>
          </w:tcPr>
          <w:p w14:paraId="77532570" w14:textId="77777777" w:rsidR="0089639C" w:rsidRDefault="0089639C" w:rsidP="00492DDB">
            <w:r>
              <w:rPr>
                <w:sz w:val="18"/>
              </w:rPr>
              <w:t>Automate testing, deployment, evaluation, observability, and repeatable documentation while retaining human approval for material changes.</w:t>
            </w:r>
          </w:p>
        </w:tc>
      </w:tr>
      <w:tr w:rsidR="0089639C" w14:paraId="05F37548" w14:textId="77777777" w:rsidTr="00492DDB">
        <w:trPr>
          <w:jc w:val="center"/>
        </w:trPr>
        <w:tc>
          <w:tcPr>
            <w:tcW w:w="5112" w:type="dxa"/>
            <w:tcMar>
              <w:top w:w="100" w:type="dxa"/>
              <w:left w:w="120" w:type="dxa"/>
              <w:bottom w:w="100" w:type="dxa"/>
              <w:right w:w="120" w:type="dxa"/>
            </w:tcMar>
            <w:vAlign w:val="center"/>
          </w:tcPr>
          <w:p w14:paraId="0DA5D906" w14:textId="77777777" w:rsidR="0089639C" w:rsidRDefault="0089639C" w:rsidP="00492DDB">
            <w:r>
              <w:rPr>
                <w:b/>
                <w:color w:val="17365D"/>
                <w:sz w:val="18"/>
              </w:rPr>
              <w:t>Operations</w:t>
            </w:r>
          </w:p>
        </w:tc>
        <w:tc>
          <w:tcPr>
            <w:tcW w:w="5112" w:type="dxa"/>
            <w:tcMar>
              <w:top w:w="100" w:type="dxa"/>
              <w:left w:w="120" w:type="dxa"/>
              <w:bottom w:w="100" w:type="dxa"/>
              <w:right w:w="120" w:type="dxa"/>
            </w:tcMar>
            <w:vAlign w:val="center"/>
          </w:tcPr>
          <w:p w14:paraId="2E8380DD" w14:textId="77777777" w:rsidR="0089639C" w:rsidRDefault="0089639C" w:rsidP="00492DDB">
            <w:r>
              <w:rPr>
                <w:sz w:val="18"/>
              </w:rPr>
              <w:t>Include monitoring, incident handling, content ownership, evaluation maintenance, support skills, and ongoing consumption cost.</w:t>
            </w:r>
          </w:p>
        </w:tc>
      </w:tr>
      <w:tr w:rsidR="0089639C" w14:paraId="2ED3AC85" w14:textId="77777777" w:rsidTr="00492DDB">
        <w:trPr>
          <w:jc w:val="center"/>
        </w:trPr>
        <w:tc>
          <w:tcPr>
            <w:tcW w:w="5112" w:type="dxa"/>
            <w:tcMar>
              <w:top w:w="100" w:type="dxa"/>
              <w:left w:w="120" w:type="dxa"/>
              <w:bottom w:w="100" w:type="dxa"/>
              <w:right w:w="120" w:type="dxa"/>
            </w:tcMar>
            <w:vAlign w:val="center"/>
          </w:tcPr>
          <w:p w14:paraId="67E6FA36" w14:textId="77777777" w:rsidR="0089639C" w:rsidRDefault="0089639C" w:rsidP="00492DDB">
            <w:r>
              <w:rPr>
                <w:b/>
                <w:color w:val="17365D"/>
                <w:sz w:val="18"/>
              </w:rPr>
              <w:t>Commercial transparency</w:t>
            </w:r>
          </w:p>
        </w:tc>
        <w:tc>
          <w:tcPr>
            <w:tcW w:w="5112" w:type="dxa"/>
            <w:tcMar>
              <w:top w:w="100" w:type="dxa"/>
              <w:left w:w="120" w:type="dxa"/>
              <w:bottom w:w="100" w:type="dxa"/>
              <w:right w:w="120" w:type="dxa"/>
            </w:tcMar>
            <w:vAlign w:val="center"/>
          </w:tcPr>
          <w:p w14:paraId="2319C628" w14:textId="77777777" w:rsidR="0089639C" w:rsidRDefault="0089639C" w:rsidP="00492DDB">
            <w:r>
              <w:rPr>
                <w:sz w:val="18"/>
              </w:rPr>
              <w:t>Show cost ranges, assumptions, exclusions, customer responsibilities, sensitivities, and what changes at scale.</w:t>
            </w:r>
          </w:p>
        </w:tc>
      </w:tr>
      <w:tr w:rsidR="0089639C" w14:paraId="35BF3D81" w14:textId="77777777" w:rsidTr="00492DDB">
        <w:trPr>
          <w:jc w:val="center"/>
        </w:trPr>
        <w:tc>
          <w:tcPr>
            <w:tcW w:w="5112" w:type="dxa"/>
            <w:tcMar>
              <w:top w:w="100" w:type="dxa"/>
              <w:left w:w="120" w:type="dxa"/>
              <w:bottom w:w="100" w:type="dxa"/>
              <w:right w:w="120" w:type="dxa"/>
            </w:tcMar>
            <w:vAlign w:val="center"/>
          </w:tcPr>
          <w:p w14:paraId="098E48CE" w14:textId="77777777" w:rsidR="0089639C" w:rsidRDefault="0089639C" w:rsidP="00492DDB">
            <w:r>
              <w:rPr>
                <w:b/>
                <w:color w:val="17365D"/>
                <w:sz w:val="18"/>
              </w:rPr>
              <w:t>Avoid false economy</w:t>
            </w:r>
          </w:p>
        </w:tc>
        <w:tc>
          <w:tcPr>
            <w:tcW w:w="5112" w:type="dxa"/>
            <w:tcMar>
              <w:top w:w="100" w:type="dxa"/>
              <w:left w:w="120" w:type="dxa"/>
              <w:bottom w:w="100" w:type="dxa"/>
              <w:right w:w="120" w:type="dxa"/>
            </w:tcMar>
            <w:vAlign w:val="center"/>
          </w:tcPr>
          <w:p w14:paraId="328BBC30" w14:textId="77777777" w:rsidR="0089639C" w:rsidRDefault="0089639C" w:rsidP="00492DDB">
            <w:r>
              <w:rPr>
                <w:sz w:val="18"/>
              </w:rPr>
              <w:t>Do not describe removal of security, testing, resilience, monitoring, support, or responsible controls as savings.</w:t>
            </w:r>
          </w:p>
        </w:tc>
      </w:tr>
    </w:tbl>
    <w:p w14:paraId="04A73CF5" w14:textId="77777777" w:rsidR="0089639C" w:rsidRDefault="0089639C" w:rsidP="0089639C">
      <w:pPr>
        <w:pStyle w:val="Heading1"/>
      </w:pPr>
      <w:r>
        <w:t>4. Presales decision quality</w:t>
      </w:r>
    </w:p>
    <w:p w14:paraId="1EDA343C" w14:textId="77777777" w:rsidR="0089639C" w:rsidRDefault="0089639C" w:rsidP="0089639C">
      <w:pPr>
        <w:pStyle w:val="ListBullet"/>
        <w:tabs>
          <w:tab w:val="num" w:pos="360"/>
        </w:tabs>
        <w:ind w:left="360" w:hanging="360"/>
      </w:pPr>
      <w:r>
        <w:t>Lead with the customer outcome and decision required.</w:t>
      </w:r>
    </w:p>
    <w:p w14:paraId="3412A23C" w14:textId="77777777" w:rsidR="0089639C" w:rsidRDefault="0089639C" w:rsidP="0089639C">
      <w:pPr>
        <w:pStyle w:val="ListBullet"/>
        <w:tabs>
          <w:tab w:val="num" w:pos="360"/>
        </w:tabs>
        <w:ind w:left="360" w:hanging="360"/>
      </w:pPr>
      <w:r>
        <w:t>Show at least two realistic options when a meaningful trade-off exists.</w:t>
      </w:r>
    </w:p>
    <w:p w14:paraId="49E6B9BA" w14:textId="77777777" w:rsidR="0089639C" w:rsidRDefault="0089639C" w:rsidP="0089639C">
      <w:pPr>
        <w:pStyle w:val="ListBullet"/>
        <w:tabs>
          <w:tab w:val="num" w:pos="360"/>
        </w:tabs>
        <w:ind w:left="360" w:hanging="360"/>
      </w:pPr>
      <w:r>
        <w:t>Make in-scope, out-of-scope, customer responsibilities, dependencies, and acceptance criteria explicit.</w:t>
      </w:r>
    </w:p>
    <w:p w14:paraId="336FFDEC" w14:textId="77777777" w:rsidR="0089639C" w:rsidRDefault="0089639C" w:rsidP="0089639C">
      <w:pPr>
        <w:pStyle w:val="ListBullet"/>
        <w:tabs>
          <w:tab w:val="num" w:pos="360"/>
        </w:tabs>
        <w:ind w:left="360" w:hanging="360"/>
      </w:pPr>
      <w:r>
        <w:t>Trace major benefits and cost claims to scenario evidence, external authority, a bounded assumption, or a planned discovery activity.</w:t>
      </w:r>
    </w:p>
    <w:p w14:paraId="6A6D090B" w14:textId="77777777" w:rsidR="0089639C" w:rsidRDefault="0089639C" w:rsidP="0089639C">
      <w:pPr>
        <w:pStyle w:val="ListBullet"/>
        <w:tabs>
          <w:tab w:val="num" w:pos="360"/>
        </w:tabs>
        <w:ind w:left="360" w:hanging="360"/>
      </w:pPr>
      <w:r>
        <w:t xml:space="preserve">Express uncertain estimates as ranges and explain the </w:t>
      </w:r>
      <w:proofErr w:type="gramStart"/>
      <w:r>
        <w:t>sensitivity</w:t>
      </w:r>
      <w:proofErr w:type="gramEnd"/>
      <w:r>
        <w:t xml:space="preserve"> drivers.</w:t>
      </w:r>
    </w:p>
    <w:p w14:paraId="7400E1AE" w14:textId="77777777" w:rsidR="0089639C" w:rsidRDefault="0089639C" w:rsidP="0089639C">
      <w:pPr>
        <w:pStyle w:val="ListBullet"/>
        <w:tabs>
          <w:tab w:val="num" w:pos="360"/>
        </w:tabs>
        <w:ind w:left="360" w:hanging="360"/>
      </w:pPr>
      <w:r>
        <w:t>Describe why the recommended option is preferable under the stated constraints and when another option would be better.</w:t>
      </w:r>
    </w:p>
    <w:p w14:paraId="60DEC59F" w14:textId="77777777" w:rsidR="0089639C" w:rsidRDefault="0089639C" w:rsidP="0089639C">
      <w:pPr>
        <w:pStyle w:val="Heading1"/>
      </w:pPr>
      <w:r>
        <w:t xml:space="preserve">5. </w:t>
      </w:r>
      <w:proofErr w:type="gramStart"/>
      <w:r>
        <w:t>Technical-delivery</w:t>
      </w:r>
      <w:proofErr w:type="gramEnd"/>
      <w:r>
        <w:t xml:space="preserve"> expectations</w:t>
      </w:r>
    </w:p>
    <w:p w14:paraId="5D5056E0" w14:textId="77777777" w:rsidR="0089639C" w:rsidRDefault="0089639C" w:rsidP="0089639C">
      <w:pPr>
        <w:pStyle w:val="ListBullet"/>
        <w:tabs>
          <w:tab w:val="num" w:pos="360"/>
        </w:tabs>
        <w:ind w:left="360" w:hanging="360"/>
      </w:pPr>
      <w:r>
        <w:t>Use a phased approach: validate, MVP, production readiness, then optimize and scale.</w:t>
      </w:r>
    </w:p>
    <w:p w14:paraId="6E21C1B7" w14:textId="77777777" w:rsidR="0089639C" w:rsidRDefault="0089639C" w:rsidP="0089639C">
      <w:pPr>
        <w:pStyle w:val="ListBullet"/>
        <w:tabs>
          <w:tab w:val="num" w:pos="360"/>
        </w:tabs>
        <w:ind w:left="360" w:hanging="360"/>
      </w:pPr>
      <w:r>
        <w:t>Define architecture decisions and alternatives, not only components.</w:t>
      </w:r>
    </w:p>
    <w:p w14:paraId="20116A5D" w14:textId="77777777" w:rsidR="0089639C" w:rsidRDefault="0089639C" w:rsidP="0089639C">
      <w:pPr>
        <w:pStyle w:val="ListBullet"/>
        <w:tabs>
          <w:tab w:val="num" w:pos="360"/>
        </w:tabs>
        <w:ind w:left="360" w:hanging="360"/>
      </w:pPr>
      <w:r>
        <w:t>Address identity, authorization, data boundaries, integration, grounding, model behavior, observability, performance, resilience, deployment, rollback, and support.</w:t>
      </w:r>
    </w:p>
    <w:p w14:paraId="572A4661" w14:textId="77777777" w:rsidR="0089639C" w:rsidRDefault="0089639C" w:rsidP="0089639C">
      <w:pPr>
        <w:pStyle w:val="ListBullet"/>
        <w:tabs>
          <w:tab w:val="num" w:pos="360"/>
        </w:tabs>
        <w:ind w:left="360" w:hanging="360"/>
      </w:pPr>
      <w:r>
        <w:t>For grounded AI, define authoritative sources, citations, freshness, conflicts, access enforcement, and fallback behavior.</w:t>
      </w:r>
    </w:p>
    <w:p w14:paraId="0BDAD3DA" w14:textId="77777777" w:rsidR="0089639C" w:rsidRDefault="0089639C" w:rsidP="0089639C">
      <w:pPr>
        <w:pStyle w:val="ListBullet"/>
        <w:tabs>
          <w:tab w:val="num" w:pos="360"/>
        </w:tabs>
        <w:ind w:left="360" w:hanging="360"/>
      </w:pPr>
      <w:r>
        <w:t xml:space="preserve">For agentic behavior, </w:t>
      </w:r>
      <w:proofErr w:type="gramStart"/>
      <w:r>
        <w:t>minimize</w:t>
      </w:r>
      <w:proofErr w:type="gramEnd"/>
      <w:r>
        <w:t xml:space="preserve"> tool permissions, constrain actions, validate parameters, log activity, and require approval for consequential actions.</w:t>
      </w:r>
    </w:p>
    <w:p w14:paraId="64FE1927" w14:textId="77777777" w:rsidR="0089639C" w:rsidRDefault="0089639C" w:rsidP="0089639C">
      <w:pPr>
        <w:pStyle w:val="ListBullet"/>
        <w:tabs>
          <w:tab w:val="num" w:pos="360"/>
        </w:tabs>
        <w:ind w:left="360" w:hanging="360"/>
      </w:pPr>
      <w:r>
        <w:t>Define operational ownership for knowledge, prompts, models, evaluations, incidents, cost, and change management.</w:t>
      </w:r>
    </w:p>
    <w:p w14:paraId="0317C789" w14:textId="77777777" w:rsidR="0089639C" w:rsidRDefault="0089639C" w:rsidP="0089639C">
      <w:pPr>
        <w:pStyle w:val="ListBullet"/>
        <w:tabs>
          <w:tab w:val="num" w:pos="360"/>
        </w:tabs>
        <w:ind w:left="360" w:hanging="360"/>
      </w:pPr>
      <w:r>
        <w:t>Use measurable exit criteria for each delivery phase.</w:t>
      </w:r>
    </w:p>
    <w:p w14:paraId="424E887E" w14:textId="77777777" w:rsidR="0089639C" w:rsidRDefault="0089639C" w:rsidP="0089639C">
      <w:pPr>
        <w:pStyle w:val="Heading1"/>
      </w:pPr>
      <w:r>
        <w:lastRenderedPageBreak/>
        <w:t>6. Security, privacy, and Responsible AI baseline</w:t>
      </w:r>
    </w:p>
    <w:tbl>
      <w:tblPr>
        <w:tblStyle w:val="TableGrid"/>
        <w:tblW w:w="0" w:type="auto"/>
        <w:jc w:val="center"/>
        <w:tblLook w:val="04A0" w:firstRow="1" w:lastRow="0" w:firstColumn="1" w:lastColumn="0" w:noHBand="0" w:noVBand="1"/>
      </w:tblPr>
      <w:tblGrid>
        <w:gridCol w:w="5107"/>
        <w:gridCol w:w="5107"/>
      </w:tblGrid>
      <w:tr w:rsidR="0089639C" w14:paraId="7AE7F135" w14:textId="77777777" w:rsidTr="00492DDB">
        <w:trPr>
          <w:tblHeader/>
          <w:jc w:val="center"/>
        </w:trPr>
        <w:tc>
          <w:tcPr>
            <w:tcW w:w="5112" w:type="dxa"/>
            <w:shd w:val="clear" w:color="auto" w:fill="17365D"/>
            <w:tcMar>
              <w:top w:w="100" w:type="dxa"/>
              <w:left w:w="120" w:type="dxa"/>
              <w:bottom w:w="100" w:type="dxa"/>
              <w:right w:w="120" w:type="dxa"/>
            </w:tcMar>
            <w:vAlign w:val="center"/>
          </w:tcPr>
          <w:p w14:paraId="59D72CAE" w14:textId="77777777" w:rsidR="0089639C" w:rsidRDefault="0089639C" w:rsidP="00492DDB">
            <w:r>
              <w:rPr>
                <w:b/>
                <w:color w:val="FFFFFF"/>
                <w:sz w:val="18"/>
              </w:rPr>
              <w:t>Principle</w:t>
            </w:r>
          </w:p>
        </w:tc>
        <w:tc>
          <w:tcPr>
            <w:tcW w:w="5112" w:type="dxa"/>
            <w:shd w:val="clear" w:color="auto" w:fill="17365D"/>
            <w:tcMar>
              <w:top w:w="100" w:type="dxa"/>
              <w:left w:w="120" w:type="dxa"/>
              <w:bottom w:w="100" w:type="dxa"/>
              <w:right w:w="120" w:type="dxa"/>
            </w:tcMar>
            <w:vAlign w:val="center"/>
          </w:tcPr>
          <w:p w14:paraId="2ED9F710" w14:textId="77777777" w:rsidR="0089639C" w:rsidRDefault="0089639C" w:rsidP="00492DDB">
            <w:r>
              <w:rPr>
                <w:b/>
                <w:color w:val="FFFFFF"/>
                <w:sz w:val="18"/>
              </w:rPr>
              <w:t>Evidence expected in a strong proposal</w:t>
            </w:r>
          </w:p>
        </w:tc>
      </w:tr>
      <w:tr w:rsidR="0089639C" w14:paraId="449D1F50" w14:textId="77777777" w:rsidTr="00492DDB">
        <w:trPr>
          <w:jc w:val="center"/>
        </w:trPr>
        <w:tc>
          <w:tcPr>
            <w:tcW w:w="5112" w:type="dxa"/>
            <w:tcMar>
              <w:top w:w="100" w:type="dxa"/>
              <w:left w:w="120" w:type="dxa"/>
              <w:bottom w:w="100" w:type="dxa"/>
              <w:right w:w="120" w:type="dxa"/>
            </w:tcMar>
            <w:vAlign w:val="center"/>
          </w:tcPr>
          <w:p w14:paraId="2F1D7AA3" w14:textId="77777777" w:rsidR="0089639C" w:rsidRDefault="0089639C" w:rsidP="00492DDB">
            <w:r>
              <w:rPr>
                <w:b/>
                <w:color w:val="17365D"/>
                <w:sz w:val="18"/>
              </w:rPr>
              <w:t>Accountability</w:t>
            </w:r>
          </w:p>
        </w:tc>
        <w:tc>
          <w:tcPr>
            <w:tcW w:w="5112" w:type="dxa"/>
            <w:tcMar>
              <w:top w:w="100" w:type="dxa"/>
              <w:left w:w="120" w:type="dxa"/>
              <w:bottom w:w="100" w:type="dxa"/>
              <w:right w:w="120" w:type="dxa"/>
            </w:tcMar>
            <w:vAlign w:val="center"/>
          </w:tcPr>
          <w:p w14:paraId="18F686C6" w14:textId="77777777" w:rsidR="0089639C" w:rsidRDefault="0089639C" w:rsidP="00492DDB">
            <w:r>
              <w:rPr>
                <w:sz w:val="18"/>
              </w:rPr>
              <w:t>Assign owners, approval points, escalation routes, and auditable decision records.</w:t>
            </w:r>
          </w:p>
        </w:tc>
      </w:tr>
      <w:tr w:rsidR="0089639C" w14:paraId="60AE9F17" w14:textId="77777777" w:rsidTr="00492DDB">
        <w:trPr>
          <w:jc w:val="center"/>
        </w:trPr>
        <w:tc>
          <w:tcPr>
            <w:tcW w:w="5112" w:type="dxa"/>
            <w:tcMar>
              <w:top w:w="100" w:type="dxa"/>
              <w:left w:w="120" w:type="dxa"/>
              <w:bottom w:w="100" w:type="dxa"/>
              <w:right w:w="120" w:type="dxa"/>
            </w:tcMar>
            <w:vAlign w:val="center"/>
          </w:tcPr>
          <w:p w14:paraId="5AC7218B" w14:textId="77777777" w:rsidR="0089639C" w:rsidRDefault="0089639C" w:rsidP="00492DDB">
            <w:r>
              <w:rPr>
                <w:b/>
                <w:color w:val="17365D"/>
                <w:sz w:val="18"/>
              </w:rPr>
              <w:t>Transparency</w:t>
            </w:r>
          </w:p>
        </w:tc>
        <w:tc>
          <w:tcPr>
            <w:tcW w:w="5112" w:type="dxa"/>
            <w:tcMar>
              <w:top w:w="100" w:type="dxa"/>
              <w:left w:w="120" w:type="dxa"/>
              <w:bottom w:w="100" w:type="dxa"/>
              <w:right w:w="120" w:type="dxa"/>
            </w:tcMar>
            <w:vAlign w:val="center"/>
          </w:tcPr>
          <w:p w14:paraId="245EB767" w14:textId="77777777" w:rsidR="0089639C" w:rsidRDefault="0089639C" w:rsidP="00492DDB">
            <w:r>
              <w:rPr>
                <w:sz w:val="18"/>
              </w:rPr>
              <w:t>Tell users when AI is used, show evidence or citations where appropriate, and communicate limitations.</w:t>
            </w:r>
          </w:p>
        </w:tc>
      </w:tr>
      <w:tr w:rsidR="0089639C" w14:paraId="39753C51" w14:textId="77777777" w:rsidTr="00492DDB">
        <w:trPr>
          <w:jc w:val="center"/>
        </w:trPr>
        <w:tc>
          <w:tcPr>
            <w:tcW w:w="5112" w:type="dxa"/>
            <w:tcMar>
              <w:top w:w="100" w:type="dxa"/>
              <w:left w:w="120" w:type="dxa"/>
              <w:bottom w:w="100" w:type="dxa"/>
              <w:right w:w="120" w:type="dxa"/>
            </w:tcMar>
            <w:vAlign w:val="center"/>
          </w:tcPr>
          <w:p w14:paraId="261A29CC" w14:textId="77777777" w:rsidR="0089639C" w:rsidRDefault="0089639C" w:rsidP="00492DDB">
            <w:r>
              <w:rPr>
                <w:b/>
                <w:color w:val="17365D"/>
                <w:sz w:val="18"/>
              </w:rPr>
              <w:t>Fairness</w:t>
            </w:r>
          </w:p>
        </w:tc>
        <w:tc>
          <w:tcPr>
            <w:tcW w:w="5112" w:type="dxa"/>
            <w:tcMar>
              <w:top w:w="100" w:type="dxa"/>
              <w:left w:w="120" w:type="dxa"/>
              <w:bottom w:w="100" w:type="dxa"/>
              <w:right w:w="120" w:type="dxa"/>
            </w:tcMar>
            <w:vAlign w:val="center"/>
          </w:tcPr>
          <w:p w14:paraId="54C234ED" w14:textId="77777777" w:rsidR="0089639C" w:rsidRDefault="0089639C" w:rsidP="00492DDB">
            <w:proofErr w:type="gramStart"/>
            <w:r>
              <w:rPr>
                <w:sz w:val="18"/>
              </w:rPr>
              <w:t>Test</w:t>
            </w:r>
            <w:proofErr w:type="gramEnd"/>
            <w:r>
              <w:rPr>
                <w:sz w:val="18"/>
              </w:rPr>
              <w:t xml:space="preserve"> whether quality or access differs materially across relevant user groups, languages, or operating contexts.</w:t>
            </w:r>
          </w:p>
        </w:tc>
      </w:tr>
      <w:tr w:rsidR="0089639C" w14:paraId="326F8615" w14:textId="77777777" w:rsidTr="00492DDB">
        <w:trPr>
          <w:jc w:val="center"/>
        </w:trPr>
        <w:tc>
          <w:tcPr>
            <w:tcW w:w="5112" w:type="dxa"/>
            <w:tcMar>
              <w:top w:w="100" w:type="dxa"/>
              <w:left w:w="120" w:type="dxa"/>
              <w:bottom w:w="100" w:type="dxa"/>
              <w:right w:w="120" w:type="dxa"/>
            </w:tcMar>
            <w:vAlign w:val="center"/>
          </w:tcPr>
          <w:p w14:paraId="6197CF8F" w14:textId="77777777" w:rsidR="0089639C" w:rsidRDefault="0089639C" w:rsidP="00492DDB">
            <w:r>
              <w:rPr>
                <w:b/>
                <w:color w:val="17365D"/>
                <w:sz w:val="18"/>
              </w:rPr>
              <w:t>Reliability and safety</w:t>
            </w:r>
          </w:p>
        </w:tc>
        <w:tc>
          <w:tcPr>
            <w:tcW w:w="5112" w:type="dxa"/>
            <w:tcMar>
              <w:top w:w="100" w:type="dxa"/>
              <w:left w:w="120" w:type="dxa"/>
              <w:bottom w:w="100" w:type="dxa"/>
              <w:right w:w="120" w:type="dxa"/>
            </w:tcMar>
            <w:vAlign w:val="center"/>
          </w:tcPr>
          <w:p w14:paraId="18027C84" w14:textId="77777777" w:rsidR="0089639C" w:rsidRDefault="0089639C" w:rsidP="00492DDB">
            <w:r>
              <w:rPr>
                <w:sz w:val="18"/>
              </w:rPr>
              <w:t>Evaluate normal, edge, adversarial, and failure scenarios; provide fallback and stop conditions.</w:t>
            </w:r>
          </w:p>
        </w:tc>
      </w:tr>
      <w:tr w:rsidR="0089639C" w14:paraId="00752D2E" w14:textId="77777777" w:rsidTr="00492DDB">
        <w:trPr>
          <w:jc w:val="center"/>
        </w:trPr>
        <w:tc>
          <w:tcPr>
            <w:tcW w:w="5112" w:type="dxa"/>
            <w:tcMar>
              <w:top w:w="100" w:type="dxa"/>
              <w:left w:w="120" w:type="dxa"/>
              <w:bottom w:w="100" w:type="dxa"/>
              <w:right w:w="120" w:type="dxa"/>
            </w:tcMar>
            <w:vAlign w:val="center"/>
          </w:tcPr>
          <w:p w14:paraId="7B779AF5" w14:textId="77777777" w:rsidR="0089639C" w:rsidRDefault="0089639C" w:rsidP="00492DDB">
            <w:r>
              <w:rPr>
                <w:b/>
                <w:color w:val="17365D"/>
                <w:sz w:val="18"/>
              </w:rPr>
              <w:t>Privacy and security</w:t>
            </w:r>
          </w:p>
        </w:tc>
        <w:tc>
          <w:tcPr>
            <w:tcW w:w="5112" w:type="dxa"/>
            <w:tcMar>
              <w:top w:w="100" w:type="dxa"/>
              <w:left w:w="120" w:type="dxa"/>
              <w:bottom w:w="100" w:type="dxa"/>
              <w:right w:w="120" w:type="dxa"/>
            </w:tcMar>
            <w:vAlign w:val="center"/>
          </w:tcPr>
          <w:p w14:paraId="3680A636" w14:textId="77777777" w:rsidR="0089639C" w:rsidRDefault="0089639C" w:rsidP="00492DDB">
            <w:r>
              <w:rPr>
                <w:sz w:val="18"/>
              </w:rPr>
              <w:t>Use approved sources, least privilege, access trimming, secure authentication, data minimization, retention controls, and incident response.</w:t>
            </w:r>
          </w:p>
        </w:tc>
      </w:tr>
      <w:tr w:rsidR="0089639C" w14:paraId="16BD7AEA" w14:textId="77777777" w:rsidTr="00492DDB">
        <w:trPr>
          <w:jc w:val="center"/>
        </w:trPr>
        <w:tc>
          <w:tcPr>
            <w:tcW w:w="5112" w:type="dxa"/>
            <w:tcMar>
              <w:top w:w="100" w:type="dxa"/>
              <w:left w:w="120" w:type="dxa"/>
              <w:bottom w:w="100" w:type="dxa"/>
              <w:right w:w="120" w:type="dxa"/>
            </w:tcMar>
            <w:vAlign w:val="center"/>
          </w:tcPr>
          <w:p w14:paraId="2A52DCBC" w14:textId="77777777" w:rsidR="0089639C" w:rsidRDefault="0089639C" w:rsidP="00492DDB">
            <w:r>
              <w:rPr>
                <w:b/>
                <w:color w:val="17365D"/>
                <w:sz w:val="18"/>
              </w:rPr>
              <w:t>Inclusiveness</w:t>
            </w:r>
          </w:p>
        </w:tc>
        <w:tc>
          <w:tcPr>
            <w:tcW w:w="5112" w:type="dxa"/>
            <w:tcMar>
              <w:top w:w="100" w:type="dxa"/>
              <w:left w:w="120" w:type="dxa"/>
              <w:bottom w:w="100" w:type="dxa"/>
              <w:right w:w="120" w:type="dxa"/>
            </w:tcMar>
            <w:vAlign w:val="center"/>
          </w:tcPr>
          <w:p w14:paraId="47EAD36B" w14:textId="77777777" w:rsidR="0089639C" w:rsidRDefault="0089639C" w:rsidP="00492DDB">
            <w:r>
              <w:rPr>
                <w:sz w:val="18"/>
              </w:rPr>
              <w:t>Design accessible interactions and consider users with different capabilities, languages, and roles.</w:t>
            </w:r>
          </w:p>
        </w:tc>
      </w:tr>
      <w:tr w:rsidR="0089639C" w14:paraId="61F6073C" w14:textId="77777777" w:rsidTr="00492DDB">
        <w:trPr>
          <w:jc w:val="center"/>
        </w:trPr>
        <w:tc>
          <w:tcPr>
            <w:tcW w:w="5112" w:type="dxa"/>
            <w:tcMar>
              <w:top w:w="100" w:type="dxa"/>
              <w:left w:w="120" w:type="dxa"/>
              <w:bottom w:w="100" w:type="dxa"/>
              <w:right w:w="120" w:type="dxa"/>
            </w:tcMar>
            <w:vAlign w:val="center"/>
          </w:tcPr>
          <w:p w14:paraId="7E21264A" w14:textId="77777777" w:rsidR="0089639C" w:rsidRDefault="0089639C" w:rsidP="00492DDB">
            <w:r>
              <w:rPr>
                <w:b/>
                <w:color w:val="17365D"/>
                <w:sz w:val="18"/>
              </w:rPr>
              <w:t>Human oversight</w:t>
            </w:r>
          </w:p>
        </w:tc>
        <w:tc>
          <w:tcPr>
            <w:tcW w:w="5112" w:type="dxa"/>
            <w:tcMar>
              <w:top w:w="100" w:type="dxa"/>
              <w:left w:w="120" w:type="dxa"/>
              <w:bottom w:w="100" w:type="dxa"/>
              <w:right w:w="120" w:type="dxa"/>
            </w:tcMar>
            <w:vAlign w:val="center"/>
          </w:tcPr>
          <w:p w14:paraId="58C6E96E" w14:textId="77777777" w:rsidR="0089639C" w:rsidRDefault="0089639C" w:rsidP="00492DDB">
            <w:r>
              <w:rPr>
                <w:sz w:val="18"/>
              </w:rPr>
              <w:t>Require meaningful review for high-impact recommendations or actions and make override straightforward.</w:t>
            </w:r>
          </w:p>
        </w:tc>
      </w:tr>
    </w:tbl>
    <w:p w14:paraId="368086AD" w14:textId="77777777" w:rsidR="0089639C" w:rsidRDefault="0089639C" w:rsidP="0089639C">
      <w:pPr>
        <w:pStyle w:val="Heading1"/>
      </w:pPr>
      <w:r>
        <w:t>7. Evaluation and quality</w:t>
      </w:r>
    </w:p>
    <w:p w14:paraId="7BBB7AAD" w14:textId="77777777" w:rsidR="0089639C" w:rsidRDefault="0089639C" w:rsidP="0089639C">
      <w:pPr>
        <w:pStyle w:val="ListBullet"/>
        <w:tabs>
          <w:tab w:val="num" w:pos="360"/>
        </w:tabs>
        <w:ind w:left="360" w:hanging="360"/>
      </w:pPr>
      <w:r>
        <w:t xml:space="preserve">Define evaluation metrics that reflect the job to be done, such as </w:t>
      </w:r>
      <w:proofErr w:type="spellStart"/>
      <w:r>
        <w:t>groundedness</w:t>
      </w:r>
      <w:proofErr w:type="spellEnd"/>
      <w:r>
        <w:t xml:space="preserve">, task completion, citation </w:t>
      </w:r>
      <w:proofErr w:type="gramStart"/>
      <w:r>
        <w:t>quality, safety</w:t>
      </w:r>
      <w:proofErr w:type="gramEnd"/>
      <w:r>
        <w:t>, cost per case, response time, or human acceptance.</w:t>
      </w:r>
    </w:p>
    <w:p w14:paraId="625E4B43" w14:textId="77777777" w:rsidR="0089639C" w:rsidRDefault="0089639C" w:rsidP="0089639C">
      <w:pPr>
        <w:pStyle w:val="ListBullet"/>
        <w:tabs>
          <w:tab w:val="num" w:pos="360"/>
        </w:tabs>
        <w:ind w:left="360" w:hanging="360"/>
      </w:pPr>
      <w:r>
        <w:t>Use representative test cases, including missing data, conflicting sources, low-confidence inputs, tool failures, adversarial instructions, and permission boundaries.</w:t>
      </w:r>
    </w:p>
    <w:p w14:paraId="567A3277" w14:textId="77777777" w:rsidR="0089639C" w:rsidRDefault="0089639C" w:rsidP="0089639C">
      <w:pPr>
        <w:pStyle w:val="ListBullet"/>
        <w:tabs>
          <w:tab w:val="num" w:pos="360"/>
        </w:tabs>
        <w:ind w:left="360" w:hanging="360"/>
      </w:pPr>
      <w:r>
        <w:t>Keep a human-reviewed calibration set and compare AI-judge results with human judgment.</w:t>
      </w:r>
    </w:p>
    <w:p w14:paraId="28EED301" w14:textId="77777777" w:rsidR="0089639C" w:rsidRDefault="0089639C" w:rsidP="0089639C">
      <w:pPr>
        <w:pStyle w:val="ListBullet"/>
        <w:tabs>
          <w:tab w:val="num" w:pos="360"/>
        </w:tabs>
        <w:ind w:left="360" w:hanging="360"/>
      </w:pPr>
      <w:r>
        <w:t>Re-run regression evaluations when prompts, models, knowledge, tools, or policies change.</w:t>
      </w:r>
    </w:p>
    <w:p w14:paraId="6D2183AF" w14:textId="77777777" w:rsidR="0089639C" w:rsidRDefault="0089639C" w:rsidP="0089639C">
      <w:pPr>
        <w:pStyle w:val="ListBullet"/>
        <w:tabs>
          <w:tab w:val="num" w:pos="360"/>
        </w:tabs>
        <w:ind w:left="360" w:hanging="360"/>
      </w:pPr>
      <w:r>
        <w:t>Score evidence, not fluency. A concise, supportable proposal should outperform a polished but ungrounded proposal.</w:t>
      </w:r>
    </w:p>
    <w:p w14:paraId="39C5C4DD" w14:textId="77777777" w:rsidR="0089639C" w:rsidRDefault="0089639C" w:rsidP="0089639C">
      <w:pPr>
        <w:pStyle w:val="Heading1"/>
      </w:pPr>
      <w:r>
        <w:t>8. Evidence hierarchy for the judge</w:t>
      </w:r>
    </w:p>
    <w:tbl>
      <w:tblPr>
        <w:tblStyle w:val="TableGrid"/>
        <w:tblW w:w="0" w:type="auto"/>
        <w:jc w:val="center"/>
        <w:tblLayout w:type="fixed"/>
        <w:tblLook w:val="04A0" w:firstRow="1" w:lastRow="0" w:firstColumn="1" w:lastColumn="0" w:noHBand="0" w:noVBand="1"/>
      </w:tblPr>
      <w:tblGrid>
        <w:gridCol w:w="5112"/>
        <w:gridCol w:w="7200"/>
      </w:tblGrid>
      <w:tr w:rsidR="0089639C" w14:paraId="5DC4F765" w14:textId="77777777" w:rsidTr="00492DDB">
        <w:trPr>
          <w:tblHeader/>
          <w:jc w:val="center"/>
        </w:trPr>
        <w:tc>
          <w:tcPr>
            <w:tcW w:w="5112" w:type="dxa"/>
            <w:shd w:val="clear" w:color="auto" w:fill="17365D"/>
            <w:tcMar>
              <w:top w:w="100" w:type="dxa"/>
              <w:left w:w="120" w:type="dxa"/>
              <w:bottom w:w="100" w:type="dxa"/>
              <w:right w:w="120" w:type="dxa"/>
            </w:tcMar>
            <w:vAlign w:val="center"/>
          </w:tcPr>
          <w:p w14:paraId="731E2886" w14:textId="77777777" w:rsidR="0089639C" w:rsidRDefault="0089639C" w:rsidP="00492DDB">
            <w:r>
              <w:rPr>
                <w:b/>
                <w:color w:val="FFFFFF"/>
                <w:sz w:val="18"/>
              </w:rPr>
              <w:t>Field</w:t>
            </w:r>
          </w:p>
        </w:tc>
        <w:tc>
          <w:tcPr>
            <w:tcW w:w="5112" w:type="dxa"/>
            <w:shd w:val="clear" w:color="auto" w:fill="17365D"/>
            <w:tcMar>
              <w:top w:w="100" w:type="dxa"/>
              <w:left w:w="120" w:type="dxa"/>
              <w:bottom w:w="100" w:type="dxa"/>
              <w:right w:w="120" w:type="dxa"/>
            </w:tcMar>
            <w:vAlign w:val="center"/>
          </w:tcPr>
          <w:p w14:paraId="67059F81" w14:textId="77777777" w:rsidR="0089639C" w:rsidRDefault="0089639C" w:rsidP="00492DDB">
            <w:r>
              <w:rPr>
                <w:b/>
                <w:color w:val="FFFFFF"/>
                <w:sz w:val="18"/>
              </w:rPr>
              <w:t>Scenario fact</w:t>
            </w:r>
          </w:p>
        </w:tc>
      </w:tr>
      <w:tr w:rsidR="0089639C" w14:paraId="29DE6387" w14:textId="77777777" w:rsidTr="00492DDB">
        <w:trPr>
          <w:jc w:val="center"/>
        </w:trPr>
        <w:tc>
          <w:tcPr>
            <w:tcW w:w="2880" w:type="dxa"/>
            <w:tcMar>
              <w:top w:w="100" w:type="dxa"/>
              <w:left w:w="120" w:type="dxa"/>
              <w:bottom w:w="100" w:type="dxa"/>
              <w:right w:w="120" w:type="dxa"/>
            </w:tcMar>
            <w:vAlign w:val="center"/>
          </w:tcPr>
          <w:p w14:paraId="6853CE3B" w14:textId="77777777" w:rsidR="0089639C" w:rsidRDefault="0089639C" w:rsidP="00492DDB">
            <w:r>
              <w:rPr>
                <w:b/>
                <w:color w:val="17365D"/>
                <w:sz w:val="18"/>
              </w:rPr>
              <w:t>1. Scenario</w:t>
            </w:r>
          </w:p>
        </w:tc>
        <w:tc>
          <w:tcPr>
            <w:tcW w:w="7200" w:type="dxa"/>
            <w:tcMar>
              <w:top w:w="100" w:type="dxa"/>
              <w:left w:w="120" w:type="dxa"/>
              <w:bottom w:w="100" w:type="dxa"/>
              <w:right w:w="120" w:type="dxa"/>
            </w:tcMar>
            <w:vAlign w:val="center"/>
          </w:tcPr>
          <w:p w14:paraId="721BA6E4" w14:textId="77777777" w:rsidR="0089639C" w:rsidRDefault="0089639C" w:rsidP="00492DDB">
            <w:r>
              <w:rPr>
                <w:sz w:val="18"/>
              </w:rPr>
              <w:t>Authoritative customer facts for this exercise.</w:t>
            </w:r>
          </w:p>
        </w:tc>
      </w:tr>
      <w:tr w:rsidR="0089639C" w14:paraId="651DEE8F" w14:textId="77777777" w:rsidTr="00492DDB">
        <w:trPr>
          <w:jc w:val="center"/>
        </w:trPr>
        <w:tc>
          <w:tcPr>
            <w:tcW w:w="2880" w:type="dxa"/>
            <w:tcMar>
              <w:top w:w="100" w:type="dxa"/>
              <w:left w:w="120" w:type="dxa"/>
              <w:bottom w:w="100" w:type="dxa"/>
              <w:right w:w="120" w:type="dxa"/>
            </w:tcMar>
            <w:vAlign w:val="center"/>
          </w:tcPr>
          <w:p w14:paraId="539CFEB2" w14:textId="77777777" w:rsidR="0089639C" w:rsidRDefault="0089639C" w:rsidP="00492DDB">
            <w:r>
              <w:rPr>
                <w:b/>
                <w:color w:val="17365D"/>
                <w:sz w:val="18"/>
              </w:rPr>
              <w:lastRenderedPageBreak/>
              <w:t>2. Team submission</w:t>
            </w:r>
          </w:p>
        </w:tc>
        <w:tc>
          <w:tcPr>
            <w:tcW w:w="7200" w:type="dxa"/>
            <w:tcMar>
              <w:top w:w="100" w:type="dxa"/>
              <w:left w:w="120" w:type="dxa"/>
              <w:bottom w:w="100" w:type="dxa"/>
              <w:right w:w="120" w:type="dxa"/>
            </w:tcMar>
            <w:vAlign w:val="center"/>
          </w:tcPr>
          <w:p w14:paraId="48E3C589" w14:textId="77777777" w:rsidR="0089639C" w:rsidRDefault="0089639C" w:rsidP="00492DDB">
            <w:r>
              <w:rPr>
                <w:sz w:val="18"/>
              </w:rPr>
              <w:t>The team’s decisions, assumptions, evidence, and proposed commitments.</w:t>
            </w:r>
          </w:p>
        </w:tc>
      </w:tr>
      <w:tr w:rsidR="0089639C" w14:paraId="49C7EDB3" w14:textId="77777777" w:rsidTr="00492DDB">
        <w:trPr>
          <w:jc w:val="center"/>
        </w:trPr>
        <w:tc>
          <w:tcPr>
            <w:tcW w:w="2880" w:type="dxa"/>
            <w:tcMar>
              <w:top w:w="100" w:type="dxa"/>
              <w:left w:w="120" w:type="dxa"/>
              <w:bottom w:w="100" w:type="dxa"/>
              <w:right w:w="120" w:type="dxa"/>
            </w:tcMar>
            <w:vAlign w:val="center"/>
          </w:tcPr>
          <w:p w14:paraId="4855E354" w14:textId="77777777" w:rsidR="0089639C" w:rsidRDefault="0089639C" w:rsidP="00492DDB">
            <w:r>
              <w:rPr>
                <w:b/>
                <w:color w:val="17365D"/>
                <w:sz w:val="18"/>
              </w:rPr>
              <w:t>3. This reference pack</w:t>
            </w:r>
          </w:p>
        </w:tc>
        <w:tc>
          <w:tcPr>
            <w:tcW w:w="7200" w:type="dxa"/>
            <w:tcMar>
              <w:top w:w="100" w:type="dxa"/>
              <w:left w:w="120" w:type="dxa"/>
              <w:bottom w:w="100" w:type="dxa"/>
              <w:right w:w="120" w:type="dxa"/>
            </w:tcMar>
            <w:vAlign w:val="center"/>
          </w:tcPr>
          <w:p w14:paraId="21FEDF44" w14:textId="77777777" w:rsidR="0089639C" w:rsidRDefault="0089639C" w:rsidP="00492DDB">
            <w:r>
              <w:rPr>
                <w:sz w:val="18"/>
              </w:rPr>
              <w:t>Common judging and design principles.</w:t>
            </w:r>
          </w:p>
        </w:tc>
      </w:tr>
      <w:tr w:rsidR="0089639C" w14:paraId="4589F124" w14:textId="77777777" w:rsidTr="00492DDB">
        <w:trPr>
          <w:jc w:val="center"/>
        </w:trPr>
        <w:tc>
          <w:tcPr>
            <w:tcW w:w="2880" w:type="dxa"/>
            <w:tcMar>
              <w:top w:w="100" w:type="dxa"/>
              <w:left w:w="120" w:type="dxa"/>
              <w:bottom w:w="100" w:type="dxa"/>
              <w:right w:w="120" w:type="dxa"/>
            </w:tcMar>
            <w:vAlign w:val="center"/>
          </w:tcPr>
          <w:p w14:paraId="15F6B622" w14:textId="77777777" w:rsidR="0089639C" w:rsidRDefault="0089639C" w:rsidP="00492DDB">
            <w:r>
              <w:rPr>
                <w:b/>
                <w:color w:val="17365D"/>
                <w:sz w:val="18"/>
              </w:rPr>
              <w:t>4. Approved authoritative lookup</w:t>
            </w:r>
          </w:p>
        </w:tc>
        <w:tc>
          <w:tcPr>
            <w:tcW w:w="7200" w:type="dxa"/>
            <w:tcMar>
              <w:top w:w="100" w:type="dxa"/>
              <w:left w:w="120" w:type="dxa"/>
              <w:bottom w:w="100" w:type="dxa"/>
              <w:right w:w="120" w:type="dxa"/>
            </w:tcMar>
            <w:vAlign w:val="center"/>
          </w:tcPr>
          <w:p w14:paraId="34B6027B" w14:textId="77777777" w:rsidR="0089639C" w:rsidRDefault="0089639C" w:rsidP="00492DDB">
            <w:r>
              <w:rPr>
                <w:sz w:val="18"/>
              </w:rPr>
              <w:t>Used only to verify an explicitly material technical fact. Record the source and do not introduce new customer facts.</w:t>
            </w:r>
          </w:p>
        </w:tc>
      </w:tr>
    </w:tbl>
    <w:p w14:paraId="57F4BE5B" w14:textId="77777777" w:rsidR="0089639C" w:rsidRDefault="0089639C" w:rsidP="0089639C">
      <w:pPr>
        <w:pStyle w:val="Heading1"/>
      </w:pPr>
      <w:r>
        <w:t>9. Not approved as evidence</w:t>
      </w:r>
    </w:p>
    <w:p w14:paraId="63377F73" w14:textId="77777777" w:rsidR="0089639C" w:rsidRDefault="0089639C" w:rsidP="0089639C">
      <w:pPr>
        <w:pStyle w:val="ListBullet"/>
        <w:tabs>
          <w:tab w:val="num" w:pos="360"/>
        </w:tabs>
        <w:ind w:left="360" w:hanging="360"/>
      </w:pPr>
      <w:r>
        <w:t>Unattributed AI-generated claims</w:t>
      </w:r>
    </w:p>
    <w:p w14:paraId="6321492C" w14:textId="77777777" w:rsidR="0089639C" w:rsidRDefault="0089639C" w:rsidP="0089639C">
      <w:pPr>
        <w:pStyle w:val="ListBullet"/>
        <w:tabs>
          <w:tab w:val="num" w:pos="360"/>
        </w:tabs>
        <w:ind w:left="360" w:hanging="360"/>
      </w:pPr>
      <w:r>
        <w:t>Confidential material from unrelated customers</w:t>
      </w:r>
    </w:p>
    <w:p w14:paraId="0F011A7E" w14:textId="77777777" w:rsidR="0089639C" w:rsidRDefault="0089639C" w:rsidP="0089639C">
      <w:pPr>
        <w:pStyle w:val="ListBullet"/>
        <w:tabs>
          <w:tab w:val="num" w:pos="360"/>
        </w:tabs>
        <w:ind w:left="360" w:hanging="360"/>
      </w:pPr>
      <w:r>
        <w:t>Unverified internal chats or draft documents</w:t>
      </w:r>
    </w:p>
    <w:p w14:paraId="386210C4" w14:textId="77777777" w:rsidR="0089639C" w:rsidRDefault="0089639C" w:rsidP="0089639C">
      <w:pPr>
        <w:pStyle w:val="ListBullet"/>
        <w:tabs>
          <w:tab w:val="num" w:pos="360"/>
        </w:tabs>
        <w:ind w:left="360" w:hanging="360"/>
      </w:pPr>
      <w:r>
        <w:t>Exact savings or timelines without a calculation basis</w:t>
      </w:r>
    </w:p>
    <w:p w14:paraId="252A0380" w14:textId="77777777" w:rsidR="0089639C" w:rsidRDefault="0089639C" w:rsidP="0089639C">
      <w:pPr>
        <w:pStyle w:val="ListBullet"/>
        <w:tabs>
          <w:tab w:val="num" w:pos="360"/>
        </w:tabs>
        <w:ind w:left="360" w:hanging="360"/>
      </w:pPr>
      <w:r>
        <w:t>Broader access to organizational data than the scenario permits</w:t>
      </w:r>
    </w:p>
    <w:p w14:paraId="57D5063D" w14:textId="77777777" w:rsidR="0089639C" w:rsidRDefault="0089639C" w:rsidP="0089639C">
      <w:pPr>
        <w:pStyle w:val="Heading1"/>
      </w:pPr>
      <w:r>
        <w:t>10. Human-judge review points</w:t>
      </w:r>
    </w:p>
    <w:p w14:paraId="225D299B" w14:textId="77777777" w:rsidR="0089639C" w:rsidRDefault="0089639C" w:rsidP="0089639C">
      <w:pPr>
        <w:pStyle w:val="ListBullet"/>
        <w:tabs>
          <w:tab w:val="num" w:pos="360"/>
        </w:tabs>
        <w:ind w:left="360" w:hanging="360"/>
      </w:pPr>
      <w:r>
        <w:t>Is the recommendation believable and appropriate for the customer conversation?</w:t>
      </w:r>
    </w:p>
    <w:p w14:paraId="6B11D1CF" w14:textId="77777777" w:rsidR="0089639C" w:rsidRDefault="0089639C" w:rsidP="0089639C">
      <w:pPr>
        <w:pStyle w:val="ListBullet"/>
        <w:tabs>
          <w:tab w:val="num" w:pos="360"/>
        </w:tabs>
        <w:ind w:left="360" w:hanging="360"/>
      </w:pPr>
      <w:r>
        <w:t>Are trade-offs and uncertainty handled responsibly?</w:t>
      </w:r>
    </w:p>
    <w:p w14:paraId="25AADC60" w14:textId="77777777" w:rsidR="0089639C" w:rsidRDefault="0089639C" w:rsidP="0089639C">
      <w:pPr>
        <w:pStyle w:val="ListBullet"/>
        <w:tabs>
          <w:tab w:val="num" w:pos="360"/>
        </w:tabs>
        <w:ind w:left="360" w:hanging="360"/>
      </w:pPr>
      <w:r>
        <w:t>Would the proposed next step be safe and commercially sensible?</w:t>
      </w:r>
    </w:p>
    <w:p w14:paraId="26D51130" w14:textId="77777777" w:rsidR="0089639C" w:rsidRDefault="0089639C" w:rsidP="0089639C">
      <w:pPr>
        <w:pStyle w:val="ListBullet"/>
        <w:tabs>
          <w:tab w:val="num" w:pos="360"/>
        </w:tabs>
        <w:ind w:left="360" w:hanging="360"/>
      </w:pPr>
      <w:r>
        <w:t>Did the team adapt when challenged?</w:t>
      </w:r>
    </w:p>
    <w:p w14:paraId="57012EC2" w14:textId="77777777" w:rsidR="0089639C" w:rsidRDefault="0089639C" w:rsidP="0089639C">
      <w:pPr>
        <w:pStyle w:val="ListBullet"/>
        <w:tabs>
          <w:tab w:val="num" w:pos="360"/>
        </w:tabs>
        <w:ind w:left="360" w:hanging="360"/>
      </w:pPr>
      <w:r>
        <w:t>Does the proposal create a reusable and operable delivery pattern?</w:t>
      </w:r>
    </w:p>
    <w:p w14:paraId="47435590" w14:textId="77777777" w:rsidR="00512763" w:rsidRDefault="00512763"/>
    <w:sectPr w:rsidR="00512763" w:rsidSect="0089639C">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A66118"/>
    <w:lvl w:ilvl="0">
      <w:start w:val="1"/>
      <w:numFmt w:val="bullet"/>
      <w:pStyle w:val="ListBullet"/>
      <w:lvlText w:val=""/>
      <w:lvlJc w:val="left"/>
      <w:pPr>
        <w:tabs>
          <w:tab w:val="num" w:pos="360"/>
        </w:tabs>
        <w:ind w:left="360" w:hanging="360"/>
      </w:pPr>
      <w:rPr>
        <w:rFonts w:ascii="Symbol" w:hAnsi="Symbol" w:hint="default"/>
      </w:rPr>
    </w:lvl>
  </w:abstractNum>
  <w:num w:numId="1" w16cid:durableId="201421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22"/>
    <w:rsid w:val="00144C1C"/>
    <w:rsid w:val="0046595D"/>
    <w:rsid w:val="00512763"/>
    <w:rsid w:val="0089639C"/>
    <w:rsid w:val="008F2807"/>
    <w:rsid w:val="0091111A"/>
    <w:rsid w:val="00C32583"/>
    <w:rsid w:val="00E92622"/>
    <w:rsid w:val="00ED3B9C"/>
    <w:rsid w:val="00F37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AB258"/>
  <w15:chartTrackingRefBased/>
  <w15:docId w15:val="{C81A3554-FC88-4343-9BD3-CB6FCDE4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39C"/>
    <w:pPr>
      <w:spacing w:after="200" w:line="276" w:lineRule="auto"/>
    </w:pPr>
    <w:rPr>
      <w:rFonts w:ascii="Aptos" w:eastAsiaTheme="minorEastAsia" w:hAnsi="Aptos"/>
      <w:kern w:val="0"/>
      <w:sz w:val="20"/>
      <w:szCs w:val="22"/>
      <w:lang w:val="en-US"/>
      <w14:ligatures w14:val="none"/>
    </w:rPr>
  </w:style>
  <w:style w:type="paragraph" w:styleId="Heading1">
    <w:name w:val="heading 1"/>
    <w:basedOn w:val="Normal"/>
    <w:next w:val="Normal"/>
    <w:link w:val="Heading1Char"/>
    <w:uiPriority w:val="9"/>
    <w:qFormat/>
    <w:rsid w:val="00E92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622"/>
    <w:rPr>
      <w:rFonts w:eastAsiaTheme="majorEastAsia" w:cstheme="majorBidi"/>
      <w:color w:val="272727" w:themeColor="text1" w:themeTint="D8"/>
    </w:rPr>
  </w:style>
  <w:style w:type="paragraph" w:styleId="Title">
    <w:name w:val="Title"/>
    <w:basedOn w:val="Normal"/>
    <w:next w:val="Normal"/>
    <w:link w:val="TitleChar"/>
    <w:uiPriority w:val="10"/>
    <w:qFormat/>
    <w:rsid w:val="00E9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622"/>
    <w:pPr>
      <w:spacing w:before="160"/>
      <w:jc w:val="center"/>
    </w:pPr>
    <w:rPr>
      <w:i/>
      <w:iCs/>
      <w:color w:val="404040" w:themeColor="text1" w:themeTint="BF"/>
    </w:rPr>
  </w:style>
  <w:style w:type="character" w:customStyle="1" w:styleId="QuoteChar">
    <w:name w:val="Quote Char"/>
    <w:basedOn w:val="DefaultParagraphFont"/>
    <w:link w:val="Quote"/>
    <w:uiPriority w:val="29"/>
    <w:rsid w:val="00E92622"/>
    <w:rPr>
      <w:i/>
      <w:iCs/>
      <w:color w:val="404040" w:themeColor="text1" w:themeTint="BF"/>
    </w:rPr>
  </w:style>
  <w:style w:type="paragraph" w:styleId="ListParagraph">
    <w:name w:val="List Paragraph"/>
    <w:basedOn w:val="Normal"/>
    <w:uiPriority w:val="34"/>
    <w:qFormat/>
    <w:rsid w:val="00E92622"/>
    <w:pPr>
      <w:ind w:left="720"/>
      <w:contextualSpacing/>
    </w:pPr>
  </w:style>
  <w:style w:type="character" w:styleId="IntenseEmphasis">
    <w:name w:val="Intense Emphasis"/>
    <w:basedOn w:val="DefaultParagraphFont"/>
    <w:uiPriority w:val="21"/>
    <w:qFormat/>
    <w:rsid w:val="00E92622"/>
    <w:rPr>
      <w:i/>
      <w:iCs/>
      <w:color w:val="0F4761" w:themeColor="accent1" w:themeShade="BF"/>
    </w:rPr>
  </w:style>
  <w:style w:type="paragraph" w:styleId="IntenseQuote">
    <w:name w:val="Intense Quote"/>
    <w:basedOn w:val="Normal"/>
    <w:next w:val="Normal"/>
    <w:link w:val="IntenseQuoteChar"/>
    <w:uiPriority w:val="30"/>
    <w:qFormat/>
    <w:rsid w:val="00E92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622"/>
    <w:rPr>
      <w:i/>
      <w:iCs/>
      <w:color w:val="0F4761" w:themeColor="accent1" w:themeShade="BF"/>
    </w:rPr>
  </w:style>
  <w:style w:type="character" w:styleId="IntenseReference">
    <w:name w:val="Intense Reference"/>
    <w:basedOn w:val="DefaultParagraphFont"/>
    <w:uiPriority w:val="32"/>
    <w:qFormat/>
    <w:rsid w:val="00E92622"/>
    <w:rPr>
      <w:b/>
      <w:bCs/>
      <w:smallCaps/>
      <w:color w:val="0F4761" w:themeColor="accent1" w:themeShade="BF"/>
      <w:spacing w:val="5"/>
    </w:rPr>
  </w:style>
  <w:style w:type="paragraph" w:styleId="ListBullet">
    <w:name w:val="List Bullet"/>
    <w:basedOn w:val="Normal"/>
    <w:uiPriority w:val="99"/>
    <w:unhideWhenUsed/>
    <w:rsid w:val="0089639C"/>
    <w:pPr>
      <w:numPr>
        <w:numId w:val="1"/>
      </w:numPr>
      <w:tabs>
        <w:tab w:val="clear" w:pos="360"/>
      </w:tabs>
      <w:ind w:left="0" w:firstLine="0"/>
      <w:contextualSpacing/>
    </w:pPr>
  </w:style>
  <w:style w:type="table" w:styleId="TableGrid">
    <w:name w:val="Table Grid"/>
    <w:basedOn w:val="TableNormal"/>
    <w:uiPriority w:val="59"/>
    <w:rsid w:val="0089639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Sagar</dc:creator>
  <cp:keywords/>
  <dc:description/>
  <cp:lastModifiedBy>Kumar Sagar</cp:lastModifiedBy>
  <cp:revision>2</cp:revision>
  <dcterms:created xsi:type="dcterms:W3CDTF">2026-09-04T09:06:00Z</dcterms:created>
  <dcterms:modified xsi:type="dcterms:W3CDTF">2026-09-04T09:06:00Z</dcterms:modified>
</cp:coreProperties>
</file>