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EXPLORATION AND VISUALIZATION</w:t>
      </w:r>
    </w:p>
    <w:p>
      <w:pPr>
        <w:jc w:val="center"/>
      </w:pPr>
      <w:r>
        <w:rPr>
          <w:b/>
          <w:sz w:val="30"/>
        </w:rPr>
        <w:t>Complete 5-Unit Assignment Report</w:t>
      </w:r>
    </w:p>
    <w:p>
      <w:pPr>
        <w:jc w:val="center"/>
      </w:pPr>
      <w:r>
        <w:t>Dataset: Plotly Express Tips Dataset</w:t>
      </w:r>
    </w:p>
    <w:p>
      <w:pPr>
        <w:jc w:val="center"/>
      </w:pPr>
      <w:r>
        <w:t>Course Code: 24UAD512</w:t>
      </w:r>
    </w:p>
    <w:p>
      <w:pPr>
        <w:jc w:val="center"/>
      </w:pPr>
      <w:r>
        <w:t>Submission Deadline: 09.10.2026</w:t>
      </w:r>
    </w:p>
    <w:p>
      <w:pPr>
        <w:jc w:val="center"/>
      </w:pPr>
      <w:r>
        <w:t>Student Name: ______________________________</w:t>
      </w:r>
    </w:p>
    <w:p>
      <w:pPr>
        <w:jc w:val="center"/>
      </w:pPr>
      <w:r>
        <w:t>Register Number: ___________________________</w:t>
      </w:r>
    </w:p>
    <w:p>
      <w:pPr>
        <w:jc w:val="center"/>
      </w:pPr>
      <w:r>
        <w:t>GitHub Repository: https://github.com/&lt;YOUR-USERNAME&gt;/&lt;YOUR-REPOSITORY&gt;</w:t>
      </w:r>
    </w:p>
    <w:p>
      <w:r>
        <w:br w:type="page"/>
      </w:r>
    </w:p>
    <w:p>
      <w:pPr>
        <w:pStyle w:val="Heading1"/>
      </w:pPr>
      <w:r>
        <w:t>1. Assignment and Syllabus Mapping</w:t>
      </w:r>
    </w:p>
    <w:p>
      <w:r>
        <w:t>The uploaded syllabus organizes the course into five units: Unit 1 Exploratory Data Analysis, Unit 2 Visualizing Using Matplotlib, Unit 3 Univariate Analysis, Unit 4 Bivariate Analysis, and Unit 5 Multivariate Analysis and Insights. The practical exercises additionally require EDA, Matplotlib/Seaborn/Plotly/Bokeh, univariate and bivariate analysis, pair plots/correlation heatmaps, dimensionality reduction and a basic scikit-learn model.</w:t>
      </w:r>
    </w:p>
    <w:p>
      <w:r>
        <w:t>Syllabus basis: uploaded course document, pages 1–2. fileciteturn0file0L2-L3</w:t>
      </w:r>
    </w:p>
    <w:p>
      <w:pPr>
        <w:pStyle w:val="Heading1"/>
      </w:pPr>
      <w:r>
        <w:t>2. Dataset Selection and Source</w:t>
      </w:r>
    </w:p>
    <w:p>
      <w:r>
        <w:t>The selected dataset is the Plotly Express 'tips' dataset. It contains restaurant bill and tip records with numerical variables (total_bill, tip, size) and categorical variables (sex, smoker, day, time), making it suitable for all five units.</w:t>
      </w:r>
    </w:p>
    <w:p>
      <w:r>
        <w:t>Official source: Plotly Express documentation – https://plotly.com/python/plotly-express/</w:t>
      </w:r>
    </w:p>
    <w:p>
      <w:r>
        <w:t>Dataset shape before cleaning: 244 rows × 7 columns.</w:t>
      </w:r>
    </w:p>
    <w:p>
      <w:r>
        <w:t>Missing values: 0. Duplicate rows detected: 1; the duplicate row was removed before analysis.</w:t>
      </w:r>
    </w:p>
    <w:p>
      <w:r>
        <w:t>The exact dataset copy used is stored as data/tips.csv.</w:t>
      </w:r>
    </w:p>
    <w:p>
      <w:pPr>
        <w:pStyle w:val="Heading1"/>
      </w:pPr>
      <w:r>
        <w:t>3. Libraries Used</w:t>
      </w:r>
    </w:p>
    <w:p>
      <w:pPr>
        <w:pStyle w:val="ListBullet"/>
      </w:pPr>
      <w:r>
        <w:t>Pandas</w:t>
      </w:r>
    </w:p>
    <w:p>
      <w:pPr>
        <w:pStyle w:val="ListBullet"/>
      </w:pPr>
      <w:r>
        <w:t>NumPy</w:t>
      </w:r>
    </w:p>
    <w:p>
      <w:pPr>
        <w:pStyle w:val="ListBullet"/>
      </w:pPr>
      <w:r>
        <w:t>SciPy</w:t>
      </w:r>
    </w:p>
    <w:p>
      <w:pPr>
        <w:pStyle w:val="ListBullet"/>
      </w:pPr>
      <w:r>
        <w:t>Matplotlib</w:t>
      </w:r>
    </w:p>
    <w:p>
      <w:pPr>
        <w:pStyle w:val="ListBullet"/>
      </w:pPr>
      <w:r>
        <w:t>Seaborn</w:t>
      </w:r>
    </w:p>
    <w:p>
      <w:pPr>
        <w:pStyle w:val="ListBullet"/>
      </w:pPr>
      <w:r>
        <w:t>Plotly</w:t>
      </w:r>
    </w:p>
    <w:p>
      <w:pPr>
        <w:pStyle w:val="ListBullet"/>
      </w:pPr>
      <w:r>
        <w:t>Bokeh</w:t>
      </w:r>
    </w:p>
    <w:p>
      <w:pPr>
        <w:pStyle w:val="ListBullet"/>
      </w:pPr>
      <w:r>
        <w:t>Scikit-learn</w:t>
      </w:r>
    </w:p>
    <w:p>
      <w:pPr>
        <w:pStyle w:val="ListBullet"/>
      </w:pPr>
      <w:r>
        <w:t>Jupyter Notebook</w:t>
      </w:r>
    </w:p>
    <w:p>
      <w:r>
        <w:br w:type="page"/>
      </w:r>
    </w:p>
    <w:p>
      <w:pPr>
        <w:pStyle w:val="Heading1"/>
      </w:pPr>
      <w:r>
        <w:t>UNIT 1 – EXPLORATORY DATA ANALYSIS</w:t>
      </w:r>
    </w:p>
    <w:p>
      <w:pPr>
        <w:pStyle w:val="Heading2"/>
      </w:pPr>
      <w:r>
        <w:t>1.1 Initial Inspection</w:t>
      </w:r>
    </w:p>
    <w:p>
      <w:r>
        <w:t>The dataset contains 244 rows and 7 columns. Shape, data types, descriptive statistics, missing values and duplicates were inspected.</w:t>
      </w:r>
    </w:p>
    <w:p>
      <w:pPr>
        <w:pStyle w:val="Heading2"/>
      </w:pPr>
      <w:r>
        <w:t>1.2 Data Quality</w:t>
      </w:r>
    </w:p>
    <w:p>
      <w:r>
        <w:t>No missing values were found. 1 duplicate row was detected and removed.</w:t>
      </w:r>
    </w:p>
    <w:p>
      <w:pPr>
        <w:pStyle w:val="Heading2"/>
      </w:pPr>
      <w:r>
        <w:t>1.3 Encoding, Transformation and Grouping</w:t>
      </w:r>
    </w:p>
    <w:p>
      <w:r>
        <w:t>Categorical variables were one-hot encoded. `log_total_bill` and `tip_percentage` were created as transformations. Grouping was performed by day and time.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Day</w:t>
            </w:r>
          </w:p>
        </w:tc>
        <w:tc>
          <w:tcPr>
            <w:tcW w:type="dxa" w:w="2045"/>
          </w:tcPr>
          <w:p>
            <w:r>
              <w:t>Count</w:t>
            </w:r>
          </w:p>
        </w:tc>
        <w:tc>
          <w:tcPr>
            <w:tcW w:type="dxa" w:w="2045"/>
          </w:tcPr>
          <w:p>
            <w:r>
              <w:t>Mean Bill</w:t>
            </w:r>
          </w:p>
        </w:tc>
        <w:tc>
          <w:tcPr>
            <w:tcW w:type="dxa" w:w="2045"/>
          </w:tcPr>
          <w:p>
            <w:r>
              <w:t>Median Bill</w:t>
            </w:r>
          </w:p>
        </w:tc>
        <w:tc>
          <w:tcPr>
            <w:tcW w:type="dxa" w:w="2045"/>
          </w:tcPr>
          <w:p>
            <w:r>
              <w:t>Total Bill</w:t>
            </w:r>
          </w:p>
        </w:tc>
      </w:tr>
      <w:tr>
        <w:tc>
          <w:tcPr>
            <w:tcW w:type="dxa" w:w="2045"/>
          </w:tcPr>
          <w:p>
            <w:r>
              <w:t>Fri</w:t>
            </w:r>
          </w:p>
        </w:tc>
        <w:tc>
          <w:tcPr>
            <w:tcW w:type="dxa" w:w="2045"/>
          </w:tcPr>
          <w:p>
            <w:r>
              <w:t>19</w:t>
            </w:r>
          </w:p>
        </w:tc>
        <w:tc>
          <w:tcPr>
            <w:tcW w:type="dxa" w:w="2045"/>
          </w:tcPr>
          <w:p>
            <w:r>
              <w:t>17.15</w:t>
            </w:r>
          </w:p>
        </w:tc>
        <w:tc>
          <w:tcPr>
            <w:tcW w:type="dxa" w:w="2045"/>
          </w:tcPr>
          <w:p>
            <w:r>
              <w:t>15.38</w:t>
            </w:r>
          </w:p>
        </w:tc>
        <w:tc>
          <w:tcPr>
            <w:tcW w:type="dxa" w:w="2045"/>
          </w:tcPr>
          <w:p>
            <w:r>
              <w:t>325.88</w:t>
            </w:r>
          </w:p>
        </w:tc>
      </w:tr>
      <w:tr>
        <w:tc>
          <w:tcPr>
            <w:tcW w:type="dxa" w:w="2045"/>
          </w:tcPr>
          <w:p>
            <w:r>
              <w:t>Sat</w:t>
            </w:r>
          </w:p>
        </w:tc>
        <w:tc>
          <w:tcPr>
            <w:tcW w:type="dxa" w:w="2045"/>
          </w:tcPr>
          <w:p>
            <w:r>
              <w:t>87</w:t>
            </w:r>
          </w:p>
        </w:tc>
        <w:tc>
          <w:tcPr>
            <w:tcW w:type="dxa" w:w="2045"/>
          </w:tcPr>
          <w:p>
            <w:r>
              <w:t>20.44</w:t>
            </w:r>
          </w:p>
        </w:tc>
        <w:tc>
          <w:tcPr>
            <w:tcW w:type="dxa" w:w="2045"/>
          </w:tcPr>
          <w:p>
            <w:r>
              <w:t>18.24</w:t>
            </w:r>
          </w:p>
        </w:tc>
        <w:tc>
          <w:tcPr>
            <w:tcW w:type="dxa" w:w="2045"/>
          </w:tcPr>
          <w:p>
            <w:r>
              <w:t>1778.40</w:t>
            </w:r>
          </w:p>
        </w:tc>
      </w:tr>
      <w:tr>
        <w:tc>
          <w:tcPr>
            <w:tcW w:type="dxa" w:w="2045"/>
          </w:tcPr>
          <w:p>
            <w:r>
              <w:t>Sun</w:t>
            </w:r>
          </w:p>
        </w:tc>
        <w:tc>
          <w:tcPr>
            <w:tcW w:type="dxa" w:w="2045"/>
          </w:tcPr>
          <w:p>
            <w:r>
              <w:t>76</w:t>
            </w:r>
          </w:p>
        </w:tc>
        <w:tc>
          <w:tcPr>
            <w:tcW w:type="dxa" w:w="2045"/>
          </w:tcPr>
          <w:p>
            <w:r>
              <w:t>21.41</w:t>
            </w:r>
          </w:p>
        </w:tc>
        <w:tc>
          <w:tcPr>
            <w:tcW w:type="dxa" w:w="2045"/>
          </w:tcPr>
          <w:p>
            <w:r>
              <w:t>19.63</w:t>
            </w:r>
          </w:p>
        </w:tc>
        <w:tc>
          <w:tcPr>
            <w:tcW w:type="dxa" w:w="2045"/>
          </w:tcPr>
          <w:p>
            <w:r>
              <w:t>1627.16</w:t>
            </w:r>
          </w:p>
        </w:tc>
      </w:tr>
      <w:tr>
        <w:tc>
          <w:tcPr>
            <w:tcW w:type="dxa" w:w="2045"/>
          </w:tcPr>
          <w:p>
            <w:r>
              <w:t>Thur</w:t>
            </w:r>
          </w:p>
        </w:tc>
        <w:tc>
          <w:tcPr>
            <w:tcW w:type="dxa" w:w="2045"/>
          </w:tcPr>
          <w:p>
            <w:r>
              <w:t>61</w:t>
            </w:r>
          </w:p>
        </w:tc>
        <w:tc>
          <w:tcPr>
            <w:tcW w:type="dxa" w:w="2045"/>
          </w:tcPr>
          <w:p>
            <w:r>
              <w:t>17.76</w:t>
            </w:r>
          </w:p>
        </w:tc>
        <w:tc>
          <w:tcPr>
            <w:tcW w:type="dxa" w:w="2045"/>
          </w:tcPr>
          <w:p>
            <w:r>
              <w:t>16.40</w:t>
            </w:r>
          </w:p>
        </w:tc>
        <w:tc>
          <w:tcPr>
            <w:tcW w:type="dxa" w:w="2045"/>
          </w:tcPr>
          <w:p>
            <w:r>
              <w:t>1083.33</w:t>
            </w:r>
          </w:p>
        </w:tc>
      </w:tr>
    </w:tbl>
    <w:p>
      <w:r>
        <w:t>Observation: the dataset is clean after duplicate removal and contains the mixed variable types required for deeper exploration.</w:t>
      </w:r>
    </w:p>
    <w:p>
      <w:r>
        <w:br w:type="page"/>
      </w:r>
    </w:p>
    <w:p>
      <w:pPr>
        <w:pStyle w:val="Heading1"/>
      </w:pPr>
      <w:r>
        <w:t>UNIT 2 – VISUALIZING USING MATPLOTLIB</w:t>
      </w:r>
    </w:p>
    <w:p>
      <w:r>
        <w:t>Implemented: line plots, scatter plots, histograms, density/contour plots, legends, colors, subplots, text/annotations and 3D plotting. Seaborn, Plotly and Bokeh are also included.</w:t>
      </w:r>
    </w:p>
    <w:p>
      <w:pPr>
        <w:pStyle w:val="Heading2"/>
      </w:pPr>
      <w:r>
        <w:t>Simple Line Plot</w:t>
      </w:r>
    </w:p>
    <w:p>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u2_matplotlib_line.png"/>
                    <pic:cNvPicPr/>
                  </pic:nvPicPr>
                  <pic:blipFill>
                    <a:blip r:embed="rId9"/>
                    <a:stretch>
                      <a:fillRect/>
                    </a:stretch>
                  </pic:blipFill>
                  <pic:spPr>
                    <a:xfrm>
                      <a:off x="0" y="0"/>
                      <a:ext cx="5577840" cy="3486150"/>
                    </a:xfrm>
                    <a:prstGeom prst="rect"/>
                  </pic:spPr>
                </pic:pic>
              </a:graphicData>
            </a:graphic>
          </wp:inline>
        </w:drawing>
      </w:r>
    </w:p>
    <w:p>
      <w:pPr>
        <w:jc w:val="center"/>
      </w:pPr>
      <w:r>
        <w:t>Average bill changes across the observed days.</w:t>
      </w:r>
    </w:p>
    <w:p>
      <w:pPr>
        <w:pStyle w:val="Heading2"/>
      </w:pPr>
      <w:r>
        <w:t>Simple Scatter Plot</w:t>
      </w:r>
    </w:p>
    <w:p>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u2_scatter.png"/>
                    <pic:cNvPicPr/>
                  </pic:nvPicPr>
                  <pic:blipFill>
                    <a:blip r:embed="rId10"/>
                    <a:stretch>
                      <a:fillRect/>
                    </a:stretch>
                  </pic:blipFill>
                  <pic:spPr>
                    <a:xfrm>
                      <a:off x="0" y="0"/>
                      <a:ext cx="5577840" cy="3486150"/>
                    </a:xfrm>
                    <a:prstGeom prst="rect"/>
                  </pic:spPr>
                </pic:pic>
              </a:graphicData>
            </a:graphic>
          </wp:inline>
        </w:drawing>
      </w:r>
    </w:p>
    <w:p>
      <w:pPr>
        <w:jc w:val="center"/>
      </w:pPr>
      <w:r>
        <w:t>The scatter plot shows an upward pattern between total bill and tip.</w:t>
      </w:r>
    </w:p>
    <w:p>
      <w:pPr>
        <w:pStyle w:val="Heading2"/>
      </w:pPr>
      <w:r>
        <w:t>Histogram and Density</w:t>
      </w:r>
    </w:p>
    <w:p>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u2_hist_density.png"/>
                    <pic:cNvPicPr/>
                  </pic:nvPicPr>
                  <pic:blipFill>
                    <a:blip r:embed="rId11"/>
                    <a:stretch>
                      <a:fillRect/>
                    </a:stretch>
                  </pic:blipFill>
                  <pic:spPr>
                    <a:xfrm>
                      <a:off x="0" y="0"/>
                      <a:ext cx="5577840" cy="3486150"/>
                    </a:xfrm>
                    <a:prstGeom prst="rect"/>
                  </pic:spPr>
                </pic:pic>
              </a:graphicData>
            </a:graphic>
          </wp:inline>
        </w:drawing>
      </w:r>
    </w:p>
    <w:p>
      <w:pPr>
        <w:jc w:val="center"/>
      </w:pPr>
      <w:r>
        <w:t>The bill distribution is concentrated at lower values with a longer right tail.</w:t>
      </w:r>
    </w:p>
    <w:p>
      <w:pPr>
        <w:pStyle w:val="Heading2"/>
      </w:pPr>
      <w:r>
        <w:t>Density / Contour Plot</w:t>
      </w:r>
    </w:p>
    <w:p>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u2_contour.png"/>
                    <pic:cNvPicPr/>
                  </pic:nvPicPr>
                  <pic:blipFill>
                    <a:blip r:embed="rId12"/>
                    <a:stretch>
                      <a:fillRect/>
                    </a:stretch>
                  </pic:blipFill>
                  <pic:spPr>
                    <a:xfrm>
                      <a:off x="0" y="0"/>
                      <a:ext cx="5577840" cy="3486150"/>
                    </a:xfrm>
                    <a:prstGeom prst="rect"/>
                  </pic:spPr>
                </pic:pic>
              </a:graphicData>
            </a:graphic>
          </wp:inline>
        </w:drawing>
      </w:r>
    </w:p>
    <w:p>
      <w:pPr>
        <w:jc w:val="center"/>
      </w:pPr>
      <w:r>
        <w:t>The contour view shows where bill-tip observations are most concentrated.</w:t>
      </w:r>
    </w:p>
    <w:p>
      <w:pPr>
        <w:pStyle w:val="Heading2"/>
      </w:pPr>
      <w:r>
        <w:t>Subplots and Annotation</w:t>
      </w:r>
    </w:p>
    <w:p>
      <w:r>
        <w:drawing>
          <wp:inline xmlns:a="http://schemas.openxmlformats.org/drawingml/2006/main" xmlns:pic="http://schemas.openxmlformats.org/drawingml/2006/picture">
            <wp:extent cx="5577840" cy="2324100"/>
            <wp:docPr id="5" name="Picture 5"/>
            <wp:cNvGraphicFramePr>
              <a:graphicFrameLocks noChangeAspect="1"/>
            </wp:cNvGraphicFramePr>
            <a:graphic>
              <a:graphicData uri="http://schemas.openxmlformats.org/drawingml/2006/picture">
                <pic:pic>
                  <pic:nvPicPr>
                    <pic:cNvPr id="0" name="u2_subplots_annotation.png"/>
                    <pic:cNvPicPr/>
                  </pic:nvPicPr>
                  <pic:blipFill>
                    <a:blip r:embed="rId13"/>
                    <a:stretch>
                      <a:fillRect/>
                    </a:stretch>
                  </pic:blipFill>
                  <pic:spPr>
                    <a:xfrm>
                      <a:off x="0" y="0"/>
                      <a:ext cx="5577840" cy="2324100"/>
                    </a:xfrm>
                    <a:prstGeom prst="rect"/>
                  </pic:spPr>
                </pic:pic>
              </a:graphicData>
            </a:graphic>
          </wp:inline>
        </w:drawing>
      </w:r>
    </w:p>
    <w:p>
      <w:pPr>
        <w:jc w:val="center"/>
      </w:pPr>
      <w:r>
        <w:t>Two views are compared in one figure and an annotation highlights a high-value observation.</w:t>
      </w:r>
    </w:p>
    <w:p>
      <w:pPr>
        <w:pStyle w:val="Heading2"/>
      </w:pPr>
      <w:r>
        <w:t>Three-Dimensional Plot</w:t>
      </w:r>
    </w:p>
    <w:p>
      <w:r>
        <w:drawing>
          <wp:inline xmlns:a="http://schemas.openxmlformats.org/drawingml/2006/main" xmlns:pic="http://schemas.openxmlformats.org/drawingml/2006/picture">
            <wp:extent cx="5577840" cy="4183380"/>
            <wp:docPr id="6" name="Picture 6"/>
            <wp:cNvGraphicFramePr>
              <a:graphicFrameLocks noChangeAspect="1"/>
            </wp:cNvGraphicFramePr>
            <a:graphic>
              <a:graphicData uri="http://schemas.openxmlformats.org/drawingml/2006/picture">
                <pic:pic>
                  <pic:nvPicPr>
                    <pic:cNvPr id="0" name="u2_3d.png"/>
                    <pic:cNvPicPr/>
                  </pic:nvPicPr>
                  <pic:blipFill>
                    <a:blip r:embed="rId14"/>
                    <a:stretch>
                      <a:fillRect/>
                    </a:stretch>
                  </pic:blipFill>
                  <pic:spPr>
                    <a:xfrm>
                      <a:off x="0" y="0"/>
                      <a:ext cx="5577840" cy="4183380"/>
                    </a:xfrm>
                    <a:prstGeom prst="rect"/>
                  </pic:spPr>
                </pic:pic>
              </a:graphicData>
            </a:graphic>
          </wp:inline>
        </w:drawing>
      </w:r>
    </w:p>
    <w:p>
      <w:pPr>
        <w:jc w:val="center"/>
      </w:pPr>
      <w:r>
        <w:t>Three variables—total bill, tip and party size—are visualized together.</w:t>
      </w:r>
    </w:p>
    <w:p>
      <w:r>
        <w:t>Interactive Plotly and Bokeh visualizations are provided in the interactive/ folder.</w:t>
      </w:r>
    </w:p>
    <w:p>
      <w:r>
        <w:br w:type="page"/>
      </w:r>
    </w:p>
    <w:p>
      <w:pPr>
        <w:pStyle w:val="Heading1"/>
      </w:pPr>
      <w:r>
        <w:t>UNIT 3 – UNIVARIATE ANALYSIS</w:t>
      </w:r>
    </w:p>
    <w:p>
      <w:r>
        <w:t>Numerical variables were examined with histograms, box plots, density plots and summary statistics. Categorical variables were examined with bar charts, pie charts and frequency tables.</w:t>
      </w:r>
    </w:p>
    <w:p>
      <w:r>
        <w:t>total_bill: mean=19.814, median=17.810, std=8.910, Q1=13.380, Q3=24.175, skewness=1.127.</w:t>
      </w:r>
    </w:p>
    <w:p>
      <w:r>
        <w:t>tip: mean=3.002, median=2.920, std=1.385, Q1=2.000, Q3=3.575, skewness=1.460.</w:t>
      </w:r>
    </w:p>
    <w:p>
      <w:r>
        <w:t>size: mean=2.572, median=2.000, std=0.952, Q1=2.000, Q3=3.000, skewness=1.442.</w:t>
      </w:r>
    </w:p>
    <w:p>
      <w:pPr>
        <w:pStyle w:val="Heading2"/>
      </w:pPr>
      <w:r>
        <w:t>Histogram of Tips</w:t>
      </w:r>
    </w:p>
    <w:p>
      <w:r>
        <w:drawing>
          <wp:inline xmlns:a="http://schemas.openxmlformats.org/drawingml/2006/main" xmlns:pic="http://schemas.openxmlformats.org/drawingml/2006/picture">
            <wp:extent cx="5394960" cy="3371850"/>
            <wp:docPr id="7" name="Picture 7"/>
            <wp:cNvGraphicFramePr>
              <a:graphicFrameLocks noChangeAspect="1"/>
            </wp:cNvGraphicFramePr>
            <a:graphic>
              <a:graphicData uri="http://schemas.openxmlformats.org/drawingml/2006/picture">
                <pic:pic>
                  <pic:nvPicPr>
                    <pic:cNvPr id="0" name="u3_histogram.png"/>
                    <pic:cNvPicPr/>
                  </pic:nvPicPr>
                  <pic:blipFill>
                    <a:blip r:embed="rId15"/>
                    <a:stretch>
                      <a:fillRect/>
                    </a:stretch>
                  </pic:blipFill>
                  <pic:spPr>
                    <a:xfrm>
                      <a:off x="0" y="0"/>
                      <a:ext cx="5394960" cy="3371850"/>
                    </a:xfrm>
                    <a:prstGeom prst="rect"/>
                  </pic:spPr>
                </pic:pic>
              </a:graphicData>
            </a:graphic>
          </wp:inline>
        </w:drawing>
      </w:r>
    </w:p>
    <w:p>
      <w:pPr>
        <w:jc w:val="center"/>
      </w:pPr>
      <w:r>
        <w:t>Tip values are concentrated in the lower range with fewer high-tip observations.</w:t>
      </w:r>
    </w:p>
    <w:p>
      <w:pPr>
        <w:pStyle w:val="Heading2"/>
      </w:pPr>
      <w:r>
        <w:t>Box Plot of Total Bill</w:t>
      </w:r>
    </w:p>
    <w:p>
      <w:r>
        <w:drawing>
          <wp:inline xmlns:a="http://schemas.openxmlformats.org/drawingml/2006/main" xmlns:pic="http://schemas.openxmlformats.org/drawingml/2006/picture">
            <wp:extent cx="5394960" cy="3371850"/>
            <wp:docPr id="8" name="Picture 8"/>
            <wp:cNvGraphicFramePr>
              <a:graphicFrameLocks noChangeAspect="1"/>
            </wp:cNvGraphicFramePr>
            <a:graphic>
              <a:graphicData uri="http://schemas.openxmlformats.org/drawingml/2006/picture">
                <pic:pic>
                  <pic:nvPicPr>
                    <pic:cNvPr id="0" name="u3_boxplot.png"/>
                    <pic:cNvPicPr/>
                  </pic:nvPicPr>
                  <pic:blipFill>
                    <a:blip r:embed="rId16"/>
                    <a:stretch>
                      <a:fillRect/>
                    </a:stretch>
                  </pic:blipFill>
                  <pic:spPr>
                    <a:xfrm>
                      <a:off x="0" y="0"/>
                      <a:ext cx="5394960" cy="3371850"/>
                    </a:xfrm>
                    <a:prstGeom prst="rect"/>
                  </pic:spPr>
                </pic:pic>
              </a:graphicData>
            </a:graphic>
          </wp:inline>
        </w:drawing>
      </w:r>
    </w:p>
    <w:p>
      <w:pPr>
        <w:jc w:val="center"/>
      </w:pPr>
      <w:r>
        <w:t>The box plot highlights the central spread and high-value observations.</w:t>
      </w:r>
    </w:p>
    <w:p>
      <w:pPr>
        <w:pStyle w:val="Heading2"/>
      </w:pPr>
      <w:r>
        <w:t>Density Plot of Tip</w:t>
      </w:r>
    </w:p>
    <w:p>
      <w:r>
        <w:drawing>
          <wp:inline xmlns:a="http://schemas.openxmlformats.org/drawingml/2006/main" xmlns:pic="http://schemas.openxmlformats.org/drawingml/2006/picture">
            <wp:extent cx="5394960" cy="3371850"/>
            <wp:docPr id="9" name="Picture 9"/>
            <wp:cNvGraphicFramePr>
              <a:graphicFrameLocks noChangeAspect="1"/>
            </wp:cNvGraphicFramePr>
            <a:graphic>
              <a:graphicData uri="http://schemas.openxmlformats.org/drawingml/2006/picture">
                <pic:pic>
                  <pic:nvPicPr>
                    <pic:cNvPr id="0" name="u3_density.png"/>
                    <pic:cNvPicPr/>
                  </pic:nvPicPr>
                  <pic:blipFill>
                    <a:blip r:embed="rId17"/>
                    <a:stretch>
                      <a:fillRect/>
                    </a:stretch>
                  </pic:blipFill>
                  <pic:spPr>
                    <a:xfrm>
                      <a:off x="0" y="0"/>
                      <a:ext cx="5394960" cy="3371850"/>
                    </a:xfrm>
                    <a:prstGeom prst="rect"/>
                  </pic:spPr>
                </pic:pic>
              </a:graphicData>
            </a:graphic>
          </wp:inline>
        </w:drawing>
      </w:r>
    </w:p>
    <w:p>
      <w:pPr>
        <w:jc w:val="center"/>
      </w:pPr>
      <w:r>
        <w:t>The density curve summarizes the shape of the tip distribution.</w:t>
      </w:r>
    </w:p>
    <w:p>
      <w:pPr>
        <w:pStyle w:val="Heading2"/>
      </w:pPr>
      <w:r>
        <w:t>Bar Chart – Day Frequency</w:t>
      </w:r>
    </w:p>
    <w:p>
      <w:r>
        <w:drawing>
          <wp:inline xmlns:a="http://schemas.openxmlformats.org/drawingml/2006/main" xmlns:pic="http://schemas.openxmlformats.org/drawingml/2006/picture">
            <wp:extent cx="5394960" cy="3371850"/>
            <wp:docPr id="10" name="Picture 10"/>
            <wp:cNvGraphicFramePr>
              <a:graphicFrameLocks noChangeAspect="1"/>
            </wp:cNvGraphicFramePr>
            <a:graphic>
              <a:graphicData uri="http://schemas.openxmlformats.org/drawingml/2006/picture">
                <pic:pic>
                  <pic:nvPicPr>
                    <pic:cNvPr id="0" name="u3_bar.png"/>
                    <pic:cNvPicPr/>
                  </pic:nvPicPr>
                  <pic:blipFill>
                    <a:blip r:embed="rId18"/>
                    <a:stretch>
                      <a:fillRect/>
                    </a:stretch>
                  </pic:blipFill>
                  <pic:spPr>
                    <a:xfrm>
                      <a:off x="0" y="0"/>
                      <a:ext cx="5394960" cy="3371850"/>
                    </a:xfrm>
                    <a:prstGeom prst="rect"/>
                  </pic:spPr>
                </pic:pic>
              </a:graphicData>
            </a:graphic>
          </wp:inline>
        </w:drawing>
      </w:r>
    </w:p>
    <w:p>
      <w:pPr>
        <w:jc w:val="center"/>
      </w:pPr>
      <w:r>
        <w:t>Saturday and Sunday contain more observations than Friday and Thursday.</w:t>
      </w:r>
    </w:p>
    <w:p>
      <w:pPr>
        <w:pStyle w:val="Heading2"/>
      </w:pPr>
      <w:r>
        <w:t>Pie Chart – Lunch vs Dinner</w:t>
      </w:r>
    </w:p>
    <w:p>
      <w:r>
        <w:drawing>
          <wp:inline xmlns:a="http://schemas.openxmlformats.org/drawingml/2006/main" xmlns:pic="http://schemas.openxmlformats.org/drawingml/2006/picture">
            <wp:extent cx="5394960" cy="5394960"/>
            <wp:docPr id="11" name="Picture 11"/>
            <wp:cNvGraphicFramePr>
              <a:graphicFrameLocks noChangeAspect="1"/>
            </wp:cNvGraphicFramePr>
            <a:graphic>
              <a:graphicData uri="http://schemas.openxmlformats.org/drawingml/2006/picture">
                <pic:pic>
                  <pic:nvPicPr>
                    <pic:cNvPr id="0" name="u3_pie.png"/>
                    <pic:cNvPicPr/>
                  </pic:nvPicPr>
                  <pic:blipFill>
                    <a:blip r:embed="rId19"/>
                    <a:stretch>
                      <a:fillRect/>
                    </a:stretch>
                  </pic:blipFill>
                  <pic:spPr>
                    <a:xfrm>
                      <a:off x="0" y="0"/>
                      <a:ext cx="5394960" cy="5394960"/>
                    </a:xfrm>
                    <a:prstGeom prst="rect"/>
                  </pic:spPr>
                </pic:pic>
              </a:graphicData>
            </a:graphic>
          </wp:inline>
        </w:drawing>
      </w:r>
    </w:p>
    <w:p>
      <w:pPr>
        <w:jc w:val="center"/>
      </w:pPr>
      <w:r>
        <w:t>Dinner accounts for the larger share of observations.</w:t>
      </w:r>
    </w:p>
    <w:p>
      <w:pPr>
        <w:pStyle w:val="Heading2"/>
      </w:pPr>
      <w:r>
        <w:t>Frequency Table</w:t>
      </w:r>
    </w:p>
    <w:tbl>
      <w:tblPr>
        <w:tblStyle w:val="TableGrid"/>
        <w:tblW w:type="auto" w:w="0"/>
        <w:tblLook w:firstColumn="1" w:firstRow="1" w:lastColumn="0" w:lastRow="0" w:noHBand="0" w:noVBand="1" w:val="04A0"/>
      </w:tblPr>
      <w:tblGrid>
        <w:gridCol w:w="3408"/>
        <w:gridCol w:w="3408"/>
        <w:gridCol w:w="3408"/>
      </w:tblGrid>
      <w:tr>
        <w:tc>
          <w:tcPr>
            <w:tcW w:type="dxa" w:w="3408"/>
          </w:tcPr>
          <w:p>
            <w:r>
              <w:t>Day</w:t>
            </w:r>
          </w:p>
        </w:tc>
        <w:tc>
          <w:tcPr>
            <w:tcW w:type="dxa" w:w="3408"/>
          </w:tcPr>
          <w:p>
            <w:r>
              <w:t>Dinner</w:t>
            </w:r>
          </w:p>
        </w:tc>
        <w:tc>
          <w:tcPr>
            <w:tcW w:type="dxa" w:w="3408"/>
          </w:tcPr>
          <w:p>
            <w:r>
              <w:t>Lunch</w:t>
            </w:r>
          </w:p>
        </w:tc>
      </w:tr>
      <w:tr>
        <w:tc>
          <w:tcPr>
            <w:tcW w:type="dxa" w:w="3408"/>
          </w:tcPr>
          <w:p>
            <w:r>
              <w:t>Thur</w:t>
            </w:r>
          </w:p>
        </w:tc>
        <w:tc>
          <w:tcPr>
            <w:tcW w:type="dxa" w:w="3408"/>
          </w:tcPr>
          <w:p>
            <w:r>
              <w:t>1</w:t>
            </w:r>
          </w:p>
        </w:tc>
        <w:tc>
          <w:tcPr>
            <w:tcW w:type="dxa" w:w="3408"/>
          </w:tcPr>
          <w:p>
            <w:r>
              <w:t>60</w:t>
            </w:r>
          </w:p>
        </w:tc>
      </w:tr>
      <w:tr>
        <w:tc>
          <w:tcPr>
            <w:tcW w:type="dxa" w:w="3408"/>
          </w:tcPr>
          <w:p>
            <w:r>
              <w:t>Fri</w:t>
            </w:r>
          </w:p>
        </w:tc>
        <w:tc>
          <w:tcPr>
            <w:tcW w:type="dxa" w:w="3408"/>
          </w:tcPr>
          <w:p>
            <w:r>
              <w:t>12</w:t>
            </w:r>
          </w:p>
        </w:tc>
        <w:tc>
          <w:tcPr>
            <w:tcW w:type="dxa" w:w="3408"/>
          </w:tcPr>
          <w:p>
            <w:r>
              <w:t>7</w:t>
            </w:r>
          </w:p>
        </w:tc>
      </w:tr>
      <w:tr>
        <w:tc>
          <w:tcPr>
            <w:tcW w:type="dxa" w:w="3408"/>
          </w:tcPr>
          <w:p>
            <w:r>
              <w:t>Sat</w:t>
            </w:r>
          </w:p>
        </w:tc>
        <w:tc>
          <w:tcPr>
            <w:tcW w:type="dxa" w:w="3408"/>
          </w:tcPr>
          <w:p>
            <w:r>
              <w:t>87</w:t>
            </w:r>
          </w:p>
        </w:tc>
        <w:tc>
          <w:tcPr>
            <w:tcW w:type="dxa" w:w="3408"/>
          </w:tcPr>
          <w:p>
            <w:r>
              <w:t>0</w:t>
            </w:r>
          </w:p>
        </w:tc>
      </w:tr>
      <w:tr>
        <w:tc>
          <w:tcPr>
            <w:tcW w:type="dxa" w:w="3408"/>
          </w:tcPr>
          <w:p>
            <w:r>
              <w:t>Sun</w:t>
            </w:r>
          </w:p>
        </w:tc>
        <w:tc>
          <w:tcPr>
            <w:tcW w:type="dxa" w:w="3408"/>
          </w:tcPr>
          <w:p>
            <w:r>
              <w:t>76</w:t>
            </w:r>
          </w:p>
        </w:tc>
        <w:tc>
          <w:tcPr>
            <w:tcW w:type="dxa" w:w="3408"/>
          </w:tcPr>
          <w:p>
            <w:r>
              <w:t>0</w:t>
            </w:r>
          </w:p>
        </w:tc>
      </w:tr>
    </w:tbl>
    <w:p>
      <w:r>
        <w:br w:type="page"/>
      </w:r>
    </w:p>
    <w:p>
      <w:pPr>
        <w:pStyle w:val="Heading1"/>
      </w:pPr>
      <w:r>
        <w:t>UNIT 4 – BIVARIATE ANALYSIS</w:t>
      </w:r>
    </w:p>
    <w:p>
      <w:r>
        <w:t>Pearson correlation between total bill and tip = 0.675. Spearman correlation = 0.677. Both show a positive association.</w:t>
      </w:r>
    </w:p>
    <w:p>
      <w:pPr>
        <w:pStyle w:val="Heading2"/>
      </w:pPr>
      <w:r>
        <w:t>Scatter Plot with Regression Line</w:t>
      </w:r>
    </w:p>
    <w:p>
      <w:r>
        <w:drawing>
          <wp:inline xmlns:a="http://schemas.openxmlformats.org/drawingml/2006/main" xmlns:pic="http://schemas.openxmlformats.org/drawingml/2006/picture">
            <wp:extent cx="5577840" cy="3486150"/>
            <wp:docPr id="12" name="Picture 12"/>
            <wp:cNvGraphicFramePr>
              <a:graphicFrameLocks noChangeAspect="1"/>
            </wp:cNvGraphicFramePr>
            <a:graphic>
              <a:graphicData uri="http://schemas.openxmlformats.org/drawingml/2006/picture">
                <pic:pic>
                  <pic:nvPicPr>
                    <pic:cNvPr id="0" name="u4_scatter_reg.png"/>
                    <pic:cNvPicPr/>
                  </pic:nvPicPr>
                  <pic:blipFill>
                    <a:blip r:embed="rId20"/>
                    <a:stretch>
                      <a:fillRect/>
                    </a:stretch>
                  </pic:blipFill>
                  <pic:spPr>
                    <a:xfrm>
                      <a:off x="0" y="0"/>
                      <a:ext cx="5577840" cy="3486150"/>
                    </a:xfrm>
                    <a:prstGeom prst="rect"/>
                  </pic:spPr>
                </pic:pic>
              </a:graphicData>
            </a:graphic>
          </wp:inline>
        </w:drawing>
      </w:r>
    </w:p>
    <w:p>
      <w:pPr>
        <w:jc w:val="center"/>
      </w:pPr>
      <w:r>
        <w:t>The regression line rises as total bill increases.</w:t>
      </w:r>
    </w:p>
    <w:p>
      <w:pPr>
        <w:pStyle w:val="Heading2"/>
      </w:pPr>
      <w:r>
        <w:t>Grouped Bar Chart</w:t>
      </w:r>
    </w:p>
    <w:p>
      <w:r>
        <w:drawing>
          <wp:inline xmlns:a="http://schemas.openxmlformats.org/drawingml/2006/main" xmlns:pic="http://schemas.openxmlformats.org/drawingml/2006/picture">
            <wp:extent cx="5577840" cy="3486150"/>
            <wp:docPr id="13" name="Picture 13"/>
            <wp:cNvGraphicFramePr>
              <a:graphicFrameLocks noChangeAspect="1"/>
            </wp:cNvGraphicFramePr>
            <a:graphic>
              <a:graphicData uri="http://schemas.openxmlformats.org/drawingml/2006/picture">
                <pic:pic>
                  <pic:nvPicPr>
                    <pic:cNvPr id="0" name="u4_grouped_bar.png"/>
                    <pic:cNvPicPr/>
                  </pic:nvPicPr>
                  <pic:blipFill>
                    <a:blip r:embed="rId21"/>
                    <a:stretch>
                      <a:fillRect/>
                    </a:stretch>
                  </pic:blipFill>
                  <pic:spPr>
                    <a:xfrm>
                      <a:off x="0" y="0"/>
                      <a:ext cx="5577840" cy="3486150"/>
                    </a:xfrm>
                    <a:prstGeom prst="rect"/>
                  </pic:spPr>
                </pic:pic>
              </a:graphicData>
            </a:graphic>
          </wp:inline>
        </w:drawing>
      </w:r>
    </w:p>
    <w:p>
      <w:pPr>
        <w:jc w:val="center"/>
      </w:pPr>
      <w:r>
        <w:t>The chart compares male and female observations across days.</w:t>
      </w:r>
    </w:p>
    <w:p>
      <w:pPr>
        <w:pStyle w:val="Heading2"/>
      </w:pPr>
      <w:r>
        <w:t>Stacked Bar Chart</w:t>
      </w:r>
    </w:p>
    <w:p>
      <w:r>
        <w:drawing>
          <wp:inline xmlns:a="http://schemas.openxmlformats.org/drawingml/2006/main" xmlns:pic="http://schemas.openxmlformats.org/drawingml/2006/picture">
            <wp:extent cx="5577840" cy="3486150"/>
            <wp:docPr id="14" name="Picture 14"/>
            <wp:cNvGraphicFramePr>
              <a:graphicFrameLocks noChangeAspect="1"/>
            </wp:cNvGraphicFramePr>
            <a:graphic>
              <a:graphicData uri="http://schemas.openxmlformats.org/drawingml/2006/picture">
                <pic:pic>
                  <pic:nvPicPr>
                    <pic:cNvPr id="0" name="u4_stacked_bar.png"/>
                    <pic:cNvPicPr/>
                  </pic:nvPicPr>
                  <pic:blipFill>
                    <a:blip r:embed="rId22"/>
                    <a:stretch>
                      <a:fillRect/>
                    </a:stretch>
                  </pic:blipFill>
                  <pic:spPr>
                    <a:xfrm>
                      <a:off x="0" y="0"/>
                      <a:ext cx="5577840" cy="3486150"/>
                    </a:xfrm>
                    <a:prstGeom prst="rect"/>
                  </pic:spPr>
                </pic:pic>
              </a:graphicData>
            </a:graphic>
          </wp:inline>
        </w:drawing>
      </w:r>
    </w:p>
    <w:p>
      <w:pPr>
        <w:jc w:val="center"/>
      </w:pPr>
      <w:r>
        <w:t>The chart compares smoker and non-smoker composition across days.</w:t>
      </w:r>
    </w:p>
    <w:p>
      <w:pPr>
        <w:pStyle w:val="Heading2"/>
      </w:pPr>
      <w:r>
        <w:t>Box Plot and Violin Plot</w:t>
      </w:r>
    </w:p>
    <w:p>
      <w:r>
        <w:drawing>
          <wp:inline xmlns:a="http://schemas.openxmlformats.org/drawingml/2006/main" xmlns:pic="http://schemas.openxmlformats.org/drawingml/2006/picture">
            <wp:extent cx="5577840" cy="2324100"/>
            <wp:docPr id="15" name="Picture 15"/>
            <wp:cNvGraphicFramePr>
              <a:graphicFrameLocks noChangeAspect="1"/>
            </wp:cNvGraphicFramePr>
            <a:graphic>
              <a:graphicData uri="http://schemas.openxmlformats.org/drawingml/2006/picture">
                <pic:pic>
                  <pic:nvPicPr>
                    <pic:cNvPr id="0" name="u4_box_violin.png"/>
                    <pic:cNvPicPr/>
                  </pic:nvPicPr>
                  <pic:blipFill>
                    <a:blip r:embed="rId23"/>
                    <a:stretch>
                      <a:fillRect/>
                    </a:stretch>
                  </pic:blipFill>
                  <pic:spPr>
                    <a:xfrm>
                      <a:off x="0" y="0"/>
                      <a:ext cx="5577840" cy="2324100"/>
                    </a:xfrm>
                    <a:prstGeom prst="rect"/>
                  </pic:spPr>
                </pic:pic>
              </a:graphicData>
            </a:graphic>
          </wp:inline>
        </w:drawing>
      </w:r>
    </w:p>
    <w:p>
      <w:pPr>
        <w:jc w:val="center"/>
      </w:pPr>
      <w:r>
        <w:t>The plots compare tip distributions and spread across days.</w:t>
      </w:r>
    </w:p>
    <w:p>
      <w:r>
        <w:br w:type="page"/>
      </w:r>
    </w:p>
    <w:p>
      <w:pPr>
        <w:pStyle w:val="Heading1"/>
      </w:pPr>
      <w:r>
        <w:t>UNIT 5 – MULTIVARIATE ANALYSIS AND INSIGHTS</w:t>
      </w:r>
    </w:p>
    <w:p>
      <w:r>
        <w:t>Pair plots, correlation heatmaps, PCA and t-SNE were used to study multiple variables simultaneously. A basic Linear Regression model was implemented using scikit-learn.</w:t>
      </w:r>
    </w:p>
    <w:p>
      <w:pPr>
        <w:pStyle w:val="Heading2"/>
      </w:pPr>
      <w:r>
        <w:t>Pair Plot / Scatter Matrix</w:t>
      </w:r>
    </w:p>
    <w:p>
      <w:r>
        <w:drawing>
          <wp:inline xmlns:a="http://schemas.openxmlformats.org/drawingml/2006/main" xmlns:pic="http://schemas.openxmlformats.org/drawingml/2006/picture">
            <wp:extent cx="5577840" cy="5010256"/>
            <wp:docPr id="16" name="Picture 16"/>
            <wp:cNvGraphicFramePr>
              <a:graphicFrameLocks noChangeAspect="1"/>
            </wp:cNvGraphicFramePr>
            <a:graphic>
              <a:graphicData uri="http://schemas.openxmlformats.org/drawingml/2006/picture">
                <pic:pic>
                  <pic:nvPicPr>
                    <pic:cNvPr id="0" name="u5_pairplot.png"/>
                    <pic:cNvPicPr/>
                  </pic:nvPicPr>
                  <pic:blipFill>
                    <a:blip r:embed="rId24"/>
                    <a:stretch>
                      <a:fillRect/>
                    </a:stretch>
                  </pic:blipFill>
                  <pic:spPr>
                    <a:xfrm>
                      <a:off x="0" y="0"/>
                      <a:ext cx="5577840" cy="5010256"/>
                    </a:xfrm>
                    <a:prstGeom prst="rect"/>
                  </pic:spPr>
                </pic:pic>
              </a:graphicData>
            </a:graphic>
          </wp:inline>
        </w:drawing>
      </w:r>
    </w:p>
    <w:p>
      <w:pPr>
        <w:jc w:val="center"/>
      </w:pPr>
      <w:r>
        <w:t>The pair plot compares numerical variables simultaneously and separates observations by sex.</w:t>
      </w:r>
    </w:p>
    <w:p>
      <w:pPr>
        <w:pStyle w:val="Heading2"/>
      </w:pPr>
      <w:r>
        <w:t>Correlation Heatmap</w:t>
      </w:r>
    </w:p>
    <w:p>
      <w:r>
        <w:drawing>
          <wp:inline xmlns:a="http://schemas.openxmlformats.org/drawingml/2006/main" xmlns:pic="http://schemas.openxmlformats.org/drawingml/2006/picture">
            <wp:extent cx="5577840" cy="3984171"/>
            <wp:docPr id="17" name="Picture 17"/>
            <wp:cNvGraphicFramePr>
              <a:graphicFrameLocks noChangeAspect="1"/>
            </wp:cNvGraphicFramePr>
            <a:graphic>
              <a:graphicData uri="http://schemas.openxmlformats.org/drawingml/2006/picture">
                <pic:pic>
                  <pic:nvPicPr>
                    <pic:cNvPr id="0" name="u5_heatmap.png"/>
                    <pic:cNvPicPr/>
                  </pic:nvPicPr>
                  <pic:blipFill>
                    <a:blip r:embed="rId25"/>
                    <a:stretch>
                      <a:fillRect/>
                    </a:stretch>
                  </pic:blipFill>
                  <pic:spPr>
                    <a:xfrm>
                      <a:off x="0" y="0"/>
                      <a:ext cx="5577840" cy="3984171"/>
                    </a:xfrm>
                    <a:prstGeom prst="rect"/>
                  </pic:spPr>
                </pic:pic>
              </a:graphicData>
            </a:graphic>
          </wp:inline>
        </w:drawing>
      </w:r>
    </w:p>
    <w:p>
      <w:pPr>
        <w:jc w:val="center"/>
      </w:pPr>
      <w:r>
        <w:t>The heatmap summarizes pairwise linear relationships.</w:t>
      </w:r>
    </w:p>
    <w:p>
      <w:pPr>
        <w:pStyle w:val="Heading2"/>
      </w:pPr>
      <w:r>
        <w:t>PCA Projection</w:t>
      </w:r>
    </w:p>
    <w:p>
      <w:r>
        <w:drawing>
          <wp:inline xmlns:a="http://schemas.openxmlformats.org/drawingml/2006/main" xmlns:pic="http://schemas.openxmlformats.org/drawingml/2006/picture">
            <wp:extent cx="5577840" cy="3486150"/>
            <wp:docPr id="18" name="Picture 18"/>
            <wp:cNvGraphicFramePr>
              <a:graphicFrameLocks noChangeAspect="1"/>
            </wp:cNvGraphicFramePr>
            <a:graphic>
              <a:graphicData uri="http://schemas.openxmlformats.org/drawingml/2006/picture">
                <pic:pic>
                  <pic:nvPicPr>
                    <pic:cNvPr id="0" name="u5_pca.png"/>
                    <pic:cNvPicPr/>
                  </pic:nvPicPr>
                  <pic:blipFill>
                    <a:blip r:embed="rId26"/>
                    <a:stretch>
                      <a:fillRect/>
                    </a:stretch>
                  </pic:blipFill>
                  <pic:spPr>
                    <a:xfrm>
                      <a:off x="0" y="0"/>
                      <a:ext cx="5577840" cy="3486150"/>
                    </a:xfrm>
                    <a:prstGeom prst="rect"/>
                  </pic:spPr>
                </pic:pic>
              </a:graphicData>
            </a:graphic>
          </wp:inline>
        </w:drawing>
      </w:r>
    </w:p>
    <w:p>
      <w:pPr>
        <w:jc w:val="center"/>
      </w:pPr>
      <w:r>
        <w:t>PCA reduces the scaled feature space to two principal components.</w:t>
      </w:r>
    </w:p>
    <w:p>
      <w:pPr>
        <w:pStyle w:val="Heading2"/>
      </w:pPr>
      <w:r>
        <w:t>t-SNE Projection</w:t>
      </w:r>
    </w:p>
    <w:p>
      <w:r>
        <w:drawing>
          <wp:inline xmlns:a="http://schemas.openxmlformats.org/drawingml/2006/main" xmlns:pic="http://schemas.openxmlformats.org/drawingml/2006/picture">
            <wp:extent cx="5577840" cy="3486150"/>
            <wp:docPr id="19" name="Picture 19"/>
            <wp:cNvGraphicFramePr>
              <a:graphicFrameLocks noChangeAspect="1"/>
            </wp:cNvGraphicFramePr>
            <a:graphic>
              <a:graphicData uri="http://schemas.openxmlformats.org/drawingml/2006/picture">
                <pic:pic>
                  <pic:nvPicPr>
                    <pic:cNvPr id="0" name="u5_tsne.png"/>
                    <pic:cNvPicPr/>
                  </pic:nvPicPr>
                  <pic:blipFill>
                    <a:blip r:embed="rId27"/>
                    <a:stretch>
                      <a:fillRect/>
                    </a:stretch>
                  </pic:blipFill>
                  <pic:spPr>
                    <a:xfrm>
                      <a:off x="0" y="0"/>
                      <a:ext cx="5577840" cy="3486150"/>
                    </a:xfrm>
                    <a:prstGeom prst="rect"/>
                  </pic:spPr>
                </pic:pic>
              </a:graphicData>
            </a:graphic>
          </wp:inline>
        </w:drawing>
      </w:r>
    </w:p>
    <w:p>
      <w:pPr>
        <w:jc w:val="center"/>
      </w:pPr>
      <w:r>
        <w:t>t-SNE gives a nonlinear two-dimensional representation.</w:t>
      </w:r>
    </w:p>
    <w:p>
      <w:pPr>
        <w:pStyle w:val="Heading2"/>
      </w:pPr>
      <w:r>
        <w:t>PCA Explained Variance</w:t>
      </w:r>
    </w:p>
    <w:p>
      <w:r>
        <w:t>PC1 = 0.611; PC2 = 0.261; combined = 0.872.</w:t>
      </w:r>
    </w:p>
    <w:p>
      <w:pPr>
        <w:pStyle w:val="Heading2"/>
      </w:pPr>
      <w:r>
        <w:t>Basic Scikit-learn Model</w:t>
      </w:r>
    </w:p>
    <w:p>
      <w:r>
        <w:t>Linear Regression predicts tip amount from total bill, party size and encoded categorical variables. The data was split into 80% training and 20% testing sets.</w:t>
      </w:r>
    </w:p>
    <w:tbl>
      <w:tblPr>
        <w:tblStyle w:val="TableGrid"/>
        <w:tblW w:type="auto" w:w="0"/>
        <w:tblLook w:firstColumn="1" w:firstRow="1" w:lastColumn="0" w:lastRow="0" w:noHBand="0" w:noVBand="1" w:val="04A0"/>
      </w:tblPr>
      <w:tblGrid>
        <w:gridCol w:w="5112"/>
        <w:gridCol w:w="5112"/>
      </w:tblGrid>
      <w:tr>
        <w:tc>
          <w:tcPr>
            <w:tcW w:type="dxa" w:w="5112"/>
          </w:tcPr>
          <w:p>
            <w:r>
              <w:t>Metric</w:t>
            </w:r>
          </w:p>
        </w:tc>
        <w:tc>
          <w:tcPr>
            <w:tcW w:type="dxa" w:w="5112"/>
          </w:tcPr>
          <w:p>
            <w:r>
              <w:t>Test Result</w:t>
            </w:r>
          </w:p>
        </w:tc>
      </w:tr>
      <w:tr>
        <w:tc>
          <w:tcPr>
            <w:tcW w:type="dxa" w:w="5112"/>
          </w:tcPr>
          <w:p>
            <w:r>
              <w:t>MAE</w:t>
            </w:r>
          </w:p>
        </w:tc>
        <w:tc>
          <w:tcPr>
            <w:tcW w:type="dxa" w:w="5112"/>
          </w:tcPr>
          <w:p>
            <w:r>
              <w:t>0.767</w:t>
            </w:r>
          </w:p>
        </w:tc>
      </w:tr>
      <w:tr>
        <w:tc>
          <w:tcPr>
            <w:tcW w:type="dxa" w:w="5112"/>
          </w:tcPr>
          <w:p>
            <w:r>
              <w:t>RMSE</w:t>
            </w:r>
          </w:p>
        </w:tc>
        <w:tc>
          <w:tcPr>
            <w:tcW w:type="dxa" w:w="5112"/>
          </w:tcPr>
          <w:p>
            <w:r>
              <w:t>1.083</w:t>
            </w:r>
          </w:p>
        </w:tc>
      </w:tr>
      <w:tr>
        <w:tc>
          <w:tcPr>
            <w:tcW w:type="dxa" w:w="5112"/>
          </w:tcPr>
          <w:p>
            <w:r>
              <w:t>R²</w:t>
            </w:r>
          </w:p>
        </w:tc>
        <w:tc>
          <w:tcPr>
            <w:tcW w:type="dxa" w:w="5112"/>
          </w:tcPr>
          <w:p>
            <w:r>
              <w:t>0.519</w:t>
            </w:r>
          </w:p>
        </w:tc>
      </w:tr>
    </w:tbl>
    <w:p>
      <w:r>
        <w:br w:type="page"/>
      </w:r>
    </w:p>
    <w:p>
      <w:pPr>
        <w:pStyle w:val="Heading1"/>
      </w:pPr>
      <w:r>
        <w:t>Complete Syllabus Coverage Checklist</w:t>
      </w:r>
    </w:p>
    <w:tbl>
      <w:tblPr>
        <w:tblStyle w:val="TableGrid"/>
        <w:tblW w:type="auto" w:w="0"/>
        <w:tblLook w:firstColumn="1" w:firstRow="1" w:lastColumn="0" w:lastRow="0" w:noHBand="0" w:noVBand="1" w:val="04A0"/>
      </w:tblPr>
      <w:tblGrid>
        <w:gridCol w:w="3408"/>
        <w:gridCol w:w="3408"/>
        <w:gridCol w:w="3408"/>
      </w:tblGrid>
      <w:tr>
        <w:tc>
          <w:tcPr>
            <w:tcW w:type="dxa" w:w="3408"/>
          </w:tcPr>
          <w:p>
            <w:r>
              <w:t>Unit</w:t>
            </w:r>
          </w:p>
        </w:tc>
        <w:tc>
          <w:tcPr>
            <w:tcW w:type="dxa" w:w="3408"/>
          </w:tcPr>
          <w:p>
            <w:r>
              <w:t>Required Topics</w:t>
            </w:r>
          </w:p>
        </w:tc>
        <w:tc>
          <w:tcPr>
            <w:tcW w:type="dxa" w:w="3408"/>
          </w:tcPr>
          <w:p>
            <w:r>
              <w:t>Status</w:t>
            </w:r>
          </w:p>
        </w:tc>
      </w:tr>
      <w:tr>
        <w:tc>
          <w:tcPr>
            <w:tcW w:type="dxa" w:w="3408"/>
          </w:tcPr>
          <w:p>
            <w:r>
              <w:t>Unit 1</w:t>
            </w:r>
          </w:p>
        </w:tc>
        <w:tc>
          <w:tcPr>
            <w:tcW w:type="dxa" w:w="3408"/>
          </w:tcPr>
          <w:p>
            <w:r>
              <w:t>EDA, data loading, initial inspection, missing values, duplicate values, encoding, transformations, grouping</w:t>
            </w:r>
          </w:p>
        </w:tc>
        <w:tc>
          <w:tcPr>
            <w:tcW w:type="dxa" w:w="3408"/>
          </w:tcPr>
          <w:p>
            <w:r>
              <w:t>Covered</w:t>
            </w:r>
          </w:p>
        </w:tc>
      </w:tr>
      <w:tr>
        <w:tc>
          <w:tcPr>
            <w:tcW w:type="dxa" w:w="3408"/>
          </w:tcPr>
          <w:p>
            <w:r>
              <w:t>Unit 2</w:t>
            </w:r>
          </w:p>
        </w:tc>
        <w:tc>
          <w:tcPr>
            <w:tcW w:type="dxa" w:w="3408"/>
          </w:tcPr>
          <w:p>
            <w:r>
              <w:t>Matplotlib, line, scatter, density/contour, histograms, legends, colors, subplots, text/annotation, 3D, Seaborn, Plotly, Bokeh</w:t>
            </w:r>
          </w:p>
        </w:tc>
        <w:tc>
          <w:tcPr>
            <w:tcW w:type="dxa" w:w="3408"/>
          </w:tcPr>
          <w:p>
            <w:r>
              <w:t>Covered</w:t>
            </w:r>
          </w:p>
        </w:tc>
      </w:tr>
      <w:tr>
        <w:tc>
          <w:tcPr>
            <w:tcW w:type="dxa" w:w="3408"/>
          </w:tcPr>
          <w:p>
            <w:r>
              <w:t>Unit 3</w:t>
            </w:r>
          </w:p>
        </w:tc>
        <w:tc>
          <w:tcPr>
            <w:tcW w:type="dxa" w:w="3408"/>
          </w:tcPr>
          <w:p>
            <w:r>
              <w:t>Histograms, box plots, density plots, mean, median, standard deviation, quartiles, skewness, outliers, bar charts, pie charts, frequency tables</w:t>
            </w:r>
          </w:p>
        </w:tc>
        <w:tc>
          <w:tcPr>
            <w:tcW w:type="dxa" w:w="3408"/>
          </w:tcPr>
          <w:p>
            <w:r>
              <w:t>Covered</w:t>
            </w:r>
          </w:p>
        </w:tc>
      </w:tr>
      <w:tr>
        <w:tc>
          <w:tcPr>
            <w:tcW w:type="dxa" w:w="3408"/>
          </w:tcPr>
          <w:p>
            <w:r>
              <w:t>Unit 4</w:t>
            </w:r>
          </w:p>
        </w:tc>
        <w:tc>
          <w:tcPr>
            <w:tcW w:type="dxa" w:w="3408"/>
          </w:tcPr>
          <w:p>
            <w:r>
              <w:t>Scatter plots, Pearson/Spearman, grouped/stacked bars, box plots, violin plots</w:t>
            </w:r>
          </w:p>
        </w:tc>
        <w:tc>
          <w:tcPr>
            <w:tcW w:type="dxa" w:w="3408"/>
          </w:tcPr>
          <w:p>
            <w:r>
              <w:t>Covered</w:t>
            </w:r>
          </w:p>
        </w:tc>
      </w:tr>
      <w:tr>
        <w:tc>
          <w:tcPr>
            <w:tcW w:type="dxa" w:w="3408"/>
          </w:tcPr>
          <w:p>
            <w:r>
              <w:t>Unit 5</w:t>
            </w:r>
          </w:p>
        </w:tc>
        <w:tc>
          <w:tcPr>
            <w:tcW w:type="dxa" w:w="3408"/>
          </w:tcPr>
          <w:p>
            <w:r>
              <w:t>Pair plots, heatmaps, multivariate visualization, PCA/t-SNE, scikit-learn model</w:t>
            </w:r>
          </w:p>
        </w:tc>
        <w:tc>
          <w:tcPr>
            <w:tcW w:type="dxa" w:w="3408"/>
          </w:tcPr>
          <w:p>
            <w:r>
              <w:t>Covered</w:t>
            </w:r>
          </w:p>
        </w:tc>
      </w:tr>
    </w:tbl>
    <w:p>
      <w:pPr>
        <w:pStyle w:val="Heading1"/>
      </w:pPr>
      <w:r>
        <w:t>Final Conclusion</w:t>
      </w:r>
    </w:p>
    <w:p>
      <w:r>
        <w:t>The Tips dataset supports a complete five-unit Data Exploration and Visualization workflow. EDA identified structure and data quality, transformations and grouping prepared the data, multiple visualization libraries communicated patterns, univariate and bivariate methods described distributions and relationships, and multivariate methods summarized combined structure. PCA/t-SNE demonstrated dimensionality reduction and Linear Regression demonstrated a basic scikit-learn workflow.</w:t>
      </w:r>
    </w:p>
    <w:p>
      <w:pPr>
        <w:pStyle w:val="Heading1"/>
      </w:pPr>
      <w:r>
        <w:t>Submission Checklist</w:t>
      </w:r>
    </w:p>
    <w:p>
      <w:pPr>
        <w:pStyle w:val="ListBullet"/>
      </w:pPr>
      <w:r>
        <w:t>Report included</w:t>
      </w:r>
    </w:p>
    <w:p>
      <w:pPr>
        <w:pStyle w:val="ListBullet"/>
      </w:pPr>
      <w:r>
        <w:t>Notebook included</w:t>
      </w:r>
    </w:p>
    <w:p>
      <w:pPr>
        <w:pStyle w:val="ListBullet"/>
      </w:pPr>
      <w:r>
        <w:t>Dataset included</w:t>
      </w:r>
    </w:p>
    <w:p>
      <w:pPr>
        <w:pStyle w:val="ListBullet"/>
      </w:pPr>
      <w:r>
        <w:t>Figures included</w:t>
      </w:r>
    </w:p>
    <w:p>
      <w:pPr>
        <w:pStyle w:val="ListBullet"/>
      </w:pPr>
      <w:r>
        <w:t>Interactive Plotly/Bokeh files included</w:t>
      </w:r>
    </w:p>
    <w:p>
      <w:pPr>
        <w:pStyle w:val="ListBullet"/>
      </w:pPr>
      <w:r>
        <w:t>requirements.txt included</w:t>
      </w:r>
    </w:p>
    <w:p>
      <w:pPr>
        <w:pStyle w:val="ListBullet"/>
      </w:pPr>
      <w:r>
        <w:t>README.md included</w:t>
      </w:r>
    </w:p>
    <w:p>
      <w:pPr>
        <w:pStyle w:val="ListBullet"/>
      </w:pPr>
      <w:r>
        <w:t>Upload the complete folder to GitHub</w:t>
      </w:r>
    </w:p>
    <w:p>
      <w:pPr>
        <w:pStyle w:val="ListBullet"/>
      </w:pPr>
      <w:r>
        <w:t>Replace the placeholder GitHub URL</w:t>
      </w:r>
    </w:p>
    <w:p>
      <w:pPr>
        <w:pStyle w:val="ListBullet"/>
      </w:pPr>
      <w:r>
        <w:t>Submit before 09.10.2026</w:t>
      </w:r>
    </w:p>
    <w:p>
      <w:pPr>
        <w:pStyle w:val="Heading1"/>
      </w:pPr>
      <w:r>
        <w:t>References</w:t>
      </w:r>
    </w:p>
    <w:p>
      <w:r>
        <w:t>1. Plotly Express documentation: https://plotly.com/python/plotly-express/</w:t>
      </w:r>
    </w:p>
    <w:p>
      <w:r>
        <w:t>2. Uploaded 24UAD512 Data Exploration and Visualization syllabus.</w:t>
      </w:r>
    </w:p>
    <w:p>
      <w:r>
        <w:t>3. Pandas, NumPy, Matplotlib, Seaborn, Bokeh and Scikit-learn documentation.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