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5840" w:hRule="exact"/>
        </w:trPr>
        <w:tc>
          <w:tcPr>
            <w:shd w:fill="0F3D3E" w:val="clear"/>
            <w:tcMar>
              <w:top w:type="dxa" w:w="4200"/>
              <w:left w:type="dxa" w:w="1100"/>
              <w:bottom w:type="dxa" w:w="0"/>
              <w:right w:type="dxa" w:w="1100"/>
            </w:tcMar>
          </w:tcPr>
          <w:p>
            <w:pPr>
              <w:spacing w:after="80"/>
            </w:pPr>
            <w:r>
              <w:rPr>
                <w:rFonts w:ascii="Inter" w:cs="Inter" w:eastAsia="Inter" w:hAnsi="Inter"/>
                <w:b/>
                <w:bCs/>
                <w:color w:val="E8A33D"/>
                <w:sz w:val="64"/>
                <w:szCs w:val="64"/>
              </w:rPr>
              <w:t xml:space="preserve">CAOS</w:t>
            </w:r>
          </w:p>
          <w:p>
            <w:pPr>
              <w:spacing w:after="700"/>
            </w:pPr>
            <w:r>
              <w:rPr>
                <w:rFonts w:ascii="Inter" w:cs="Inter" w:eastAsia="Inter" w:hAnsi="Inter"/>
                <w:i/>
                <w:iCs/>
                <w:color w:val="CFE3E1"/>
                <w:sz w:val="24"/>
                <w:szCs w:val="24"/>
              </w:rPr>
              <w:t xml:space="preserve">From Chaos to CAOS</w:t>
            </w:r>
          </w:p>
          <w:p>
            <w:pPr>
              <w:pBdr>
                <w:top w:val="single" w:color="E8A33D" w:sz="8" w:space="12"/>
              </w:pBdr>
              <w:spacing w:after="260" w:before="0"/>
            </w:pPr>
            <w:r>
              <w:rPr>
                <w:sz w:val="2"/>
                <w:szCs w:val="2"/>
              </w:rPr>
              <w:t xml:space="preserve"/>
            </w:r>
          </w:p>
          <w:p>
            <w:pPr>
              <w:spacing w:after="160"/>
            </w:pPr>
            <w:r>
              <w:rPr>
                <w:rFonts w:ascii="Inter" w:cs="Inter" w:eastAsia="Inter" w:hAnsi="Inter"/>
                <w:b/>
                <w:bCs/>
                <w:color w:val="FFFFFF"/>
                <w:sz w:val="52"/>
                <w:szCs w:val="52"/>
              </w:rPr>
              <w:t xml:space="preserve">Integration Testing</w:t>
            </w:r>
          </w:p>
          <w:p>
            <w:pPr>
              <w:spacing w:after="520"/>
            </w:pPr>
            <w:r>
              <w:rPr>
                <w:rFonts w:ascii="Inter" w:cs="Inter" w:eastAsia="Inter" w:hAnsi="Inter"/>
                <w:color w:val="CFE3E1"/>
                <w:sz w:val="28"/>
                <w:szCs w:val="28"/>
              </w:rPr>
              <w:t xml:space="preserve">What CAOS Can Do Today — and What's Still Ahead</w:t>
            </w:r>
          </w:p>
          <w:p>
            <w:pPr>
              <w:spacing w:after="60"/>
            </w:pPr>
            <w:r>
              <w:rPr>
                <w:rFonts w:ascii="Inter" w:cs="Inter" w:eastAsia="Inter" w:hAnsi="Inter"/>
                <w:b/>
                <w:bCs/>
                <w:color w:val="FFFFFF"/>
                <w:sz w:val="22"/>
                <w:szCs w:val="22"/>
              </w:rPr>
              <w:t xml:space="preserve">Prepared for Venture Assist / Srivatsan &amp; Associates</w:t>
            </w:r>
          </w:p>
          <w:p>
            <w:pPr>
              <w:spacing w:after="60"/>
            </w:pPr>
            <w:r>
              <w:rPr>
                <w:rFonts w:ascii="Inter" w:cs="Inter" w:eastAsia="Inter" w:hAnsi="Inter"/>
                <w:color w:val="CFE3E1"/>
                <w:sz w:val="20"/>
                <w:szCs w:val="20"/>
              </w:rPr>
              <w:t xml:space="preserve">September 2026</w:t>
            </w:r>
          </w:p>
          <w:p>
            <w:r>
              <w:rPr>
                <w:rFonts w:ascii="Inter" w:cs="Inter" w:eastAsia="Inter" w:hAnsi="Inter"/>
                <w:i/>
                <w:iCs/>
                <w:color w:val="CFE3E1"/>
                <w:sz w:val="20"/>
                <w:szCs w:val="20"/>
              </w:rPr>
              <w:t xml:space="preserve">Based on direct technical testing against real systems — Tally, Zoho Books, Dropbox, GST filing access, document extraction, and email intake</w:t>
            </w:r>
          </w:p>
        </w:tc>
      </w:tr>
    </w:tbl>
    <w:p>
      <w:pPr>
        <w:sectPr>
          <w:pgSz w:w="12240" w:h="15840" w:orient="portrait"/>
          <w:pgMar w:top="0" w:right="0" w:bottom="0" w:left="0" w:header="708" w:footer="708" w:gutter="0"/>
          <w:pgNumType/>
          <w:docGrid w:linePitch="360"/>
        </w:sectPr>
      </w:pPr>
    </w:p>
    <w:p>
      <w:pPr>
        <w:pStyle w:val="Heading1"/>
        <w:pBdr>
          <w:bottom w:val="single" w:color="E8A33D" w:sz="6" w:space="6"/>
        </w:pBdr>
        <w:spacing w:after="200" w:before="420"/>
      </w:pPr>
      <w:r>
        <w:rPr>
          <w:rFonts w:ascii="Inter" w:cs="Inter" w:eastAsia="Inter" w:hAnsi="Inter"/>
          <w:b/>
          <w:bCs/>
          <w:color w:val="0F3D3E"/>
          <w:sz w:val="30"/>
          <w:szCs w:val="30"/>
        </w:rPr>
        <w:t xml:space="preserve">Why this document exists</w:t>
      </w:r>
    </w:p>
    <w:p>
      <w:pPr>
        <w:spacing w:after="160" w:line="288"/>
      </w:pPr>
      <w:r>
        <w:rPr>
          <w:rFonts w:ascii="Inter" w:cs="Inter" w:eastAsia="Inter" w:hAnsi="Inter"/>
          <w:b w:val="false"/>
          <w:bCs w:val="false"/>
          <w:i w:val="false"/>
          <w:iCs w:val="false"/>
          <w:color w:val="2A2A2A"/>
          <w:sz w:val="21"/>
          <w:szCs w:val="21"/>
        </w:rPr>
        <w:t xml:space="preserve">Before CAOS goes further into your practice's day-to-day work, we tested each part of it directly — not on paper, but against real systems: a live Tally company, a live Zoho Books account, a live Dropbox connection, the government's GST filing access, real document extraction, and a real shared inbox. This document reports what that testing actually showed, area by area: what works today, what doesn't yet, and what we're still confirming before we'd call each piece ready for your live client data.</w:t>
      </w:r>
    </w:p>
    <w:p>
      <w:pPr>
        <w:spacing w:after="160" w:line="288"/>
      </w:pPr>
      <w:r>
        <w:rPr>
          <w:rFonts w:ascii="Inter" w:cs="Inter" w:eastAsia="Inter" w:hAnsi="Inter"/>
          <w:b w:val="false"/>
          <w:bCs w:val="false"/>
          <w:i w:val="false"/>
          <w:iCs w:val="false"/>
          <w:color w:val="2A2A2A"/>
          <w:sz w:val="21"/>
          <w:szCs w:val="21"/>
        </w:rPr>
        <w:t xml:space="preserve">We're deliberately not rounding up. Where something is proven, we say so and how we know. Where something isn't yet confirmed, we say that too, rather than assume it will simply work. Some areas below are further along than others — that's reflected honestly in each section, not smoothed over.</w:t>
      </w:r>
    </w:p>
    <w:p>
      <w:pPr>
        <w:pStyle w:val="Heading1"/>
        <w:pBdr>
          <w:bottom w:val="single" w:color="E8A33D" w:sz="6" w:space="6"/>
        </w:pBdr>
        <w:spacing w:after="200" w:before="420"/>
      </w:pPr>
      <w:r>
        <w:rPr>
          <w:rFonts w:ascii="Inter" w:cs="Inter" w:eastAsia="Inter" w:hAnsi="Inter"/>
          <w:b/>
          <w:bCs/>
          <w:color w:val="0F3D3E"/>
          <w:sz w:val="30"/>
          <w:szCs w:val="30"/>
        </w:rPr>
        <w:t xml:space="preserve">1. Tally Integration</w:t>
      </w:r>
    </w:p>
    <w:p>
      <w:pPr>
        <w:spacing w:after="160" w:before="260"/>
      </w:pPr>
      <w:r>
        <w:rPr>
          <w:rFonts w:ascii="Inter" w:cs="Inter" w:eastAsia="Inter" w:hAnsi="Inter"/>
          <w:b/>
          <w:bCs/>
          <w:color w:val="0F3D3E"/>
          <w:sz w:val="24"/>
          <w:szCs w:val="24"/>
        </w:rPr>
        <w:t xml:space="preserve">How CAOS connects to Tally</w:t>
      </w:r>
    </w:p>
    <w:p>
      <w:pPr>
        <w:spacing w:after="160" w:line="288"/>
      </w:pPr>
      <w:r>
        <w:rPr>
          <w:rFonts w:ascii="Inter" w:cs="Inter" w:eastAsia="Inter" w:hAnsi="Inter"/>
          <w:b w:val="false"/>
          <w:bCs w:val="false"/>
          <w:i w:val="false"/>
          <w:iCs w:val="false"/>
          <w:color w:val="2A2A2A"/>
          <w:sz w:val="21"/>
          <w:szCs w:val="21"/>
        </w:rPr>
        <w:t xml:space="preserve">CAOS talks to Tally the same way Tally's own import/export tools do — directly, over the practice's local network, without needing any manual export or upload step from your staff. CAOS can read what's already in a client's Tally books, and it can post new entries (like purchase vouchers) into Tally on your team's behalf, once a staff member has reviewed and approved them.</w:t>
      </w:r>
    </w:p>
    <w:p>
      <w:pPr>
        <w:spacing w:after="260" w:line="288"/>
      </w:pPr>
      <w:r>
        <w:rPr>
          <w:rFonts w:ascii="Inter" w:cs="Inter" w:eastAsia="Inter" w:hAnsi="Inter"/>
          <w:b w:val="false"/>
          <w:bCs w:val="false"/>
          <w:i w:val="false"/>
          <w:iCs w:val="false"/>
          <w:color w:val="2A2A2A"/>
          <w:sz w:val="21"/>
          <w:szCs w:val="21"/>
        </w:rPr>
        <w:t xml:space="preserve">Every entry CAOS ever posts goes through your team's review first. CAOS drafts; a staff member approves. Nothing reaches a client's books unreviewed.</w:t>
      </w:r>
    </w:p>
    <w:p>
      <w:pPr>
        <w:spacing w:after="160" w:before="260"/>
      </w:pPr>
      <w:r>
        <w:rPr>
          <w:rFonts w:ascii="Inter" w:cs="Inter" w:eastAsia="Inter" w:hAnsi="Inter"/>
          <w:b/>
          <w:bCs/>
          <w:color w:val="0F3D3E"/>
          <w:sz w:val="24"/>
          <w:szCs w:val="24"/>
        </w:rPr>
        <w:t xml:space="preserve">What's confirmed working today</w:t>
      </w:r>
    </w:p>
    <w:p>
      <w:pPr>
        <w:spacing w:after="160" w:line="288"/>
      </w:pPr>
      <w:r>
        <w:rPr>
          <w:rFonts w:ascii="Inter" w:cs="Inter" w:eastAsia="Inter" w:hAnsi="Inter"/>
          <w:b w:val="false"/>
          <w:bCs w:val="false"/>
          <w:i w:val="false"/>
          <w:iCs w:val="false"/>
          <w:color w:val="2A2A2A"/>
          <w:sz w:val="21"/>
          <w:szCs w:val="21"/>
        </w:rPr>
        <w:t xml:space="preserve">Everything below has been tested against a real Tally company — not assumed from documentation. Where relevant, we double-checked results by reading the entry back out of Tally afterward, rather than trusting a single confirmation message (more on why,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none" w:color="FFFFFF" w:sz="0"/>
              <w:left w:val="none" w:color="FFFFFF" w:sz="0"/>
              <w:bottom w:val="none" w:color="FFFFFF" w:sz="0"/>
              <w:right w:val="none" w:color="FFFFFF" w:sz="0"/>
            </w:tcBorders>
            <w:shd w:fill="0F3D3E" w:val="clear"/>
            <w:tcMar>
              <w:top w:type="dxa" w:w="120"/>
              <w:left w:type="dxa" w:w="160"/>
              <w:bottom w:type="dxa" w:w="120"/>
              <w:right w:type="dxa" w:w="120"/>
            </w:tcMar>
          </w:tcPr>
          <w:p>
            <w:r>
              <w:rPr>
                <w:rFonts w:ascii="Inter" w:cs="Inter" w:eastAsia="Inter" w:hAnsi="Inter"/>
                <w:b/>
                <w:bCs/>
                <w:color w:val="FFFFFF"/>
                <w:sz w:val="20"/>
                <w:szCs w:val="20"/>
              </w:rPr>
              <w:t xml:space="preserve">Capability</w:t>
            </w:r>
          </w:p>
        </w:tc>
        <w:tc>
          <w:tcPr>
            <w:tcW w:type="pct" w:w="45%"/>
            <w:tcBorders>
              <w:top w:val="none" w:color="FFFFFF" w:sz="0"/>
              <w:left w:val="none" w:color="FFFFFF" w:sz="0"/>
              <w:bottom w:val="none" w:color="FFFFFF" w:sz="0"/>
              <w:right w:val="none" w:color="FFFFFF" w:sz="0"/>
            </w:tcBorders>
            <w:shd w:fill="0F3D3E" w:val="clear"/>
            <w:tcMar>
              <w:top w:type="dxa" w:w="120"/>
              <w:left w:type="dxa" w:w="120"/>
              <w:bottom w:type="dxa" w:w="120"/>
              <w:right w:type="dxa" w:w="160"/>
            </w:tcMar>
          </w:tcPr>
          <w:p>
            <w:r>
              <w:rPr>
                <w:rFonts w:ascii="Inter" w:cs="Inter" w:eastAsia="Inter" w:hAnsi="Inter"/>
                <w:b/>
                <w:bCs/>
                <w:color w:val="FFFFFF"/>
                <w:sz w:val="20"/>
                <w:szCs w:val="20"/>
              </w:rPr>
              <w:t xml:space="preserve">What this means in practice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Reading existing entries reliably</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CAOS can pull transaction data out of a client's Tally books accurately, for any client.</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Posting purchase entries with correct tax</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Entries CAOS creates carry the right CGST/SGST split — verified directly in Tally, not just assumed from a success message.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Working with both simple and inventory-tracking clients</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CAOS automatically detects whether a client's Tally books track stock, and posts entries in the correct format either way — no manual configuration per client needed for this.</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Preventing accidental duplicate entries</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Tally itself does not stop the same entry from being posted twice. CAOS keeps its own independent record of everything it has posted, specifically to guard against this.</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Finding and re-verifying an entry later</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CAOS can always locate the exact entry it created — even after Tally has been restarted, or after the entry was later corrected by staff — so it can confirm nothing drifted out of sync.</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Reading standard financial reports</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CAOS can pull Trial Balance, Balance Sheet, Profit &amp; Loss, and Stock Summary directly out of Tally — useful for cross-checking and reporting, not just transaction-level data.</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Correcting a posted entry safely</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If an entry needs correcting after it's posted, CAOS can cancel it — it stays visible in Tally with its values zeroed out, rather than being silently removed. This preserves a complete audit trail, which is the right fit for compliance work.</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Creating and maintaining ledger accounts</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CAOS can create and update the vendor, customer, and tax accounts a client's books need — not just post transactions against accounts that already exist.</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Creating sales invoices to clients</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Confirmed working the same way purchase entries are — CAOS can post what a client bills to its own customers, with the debit/credit sides correctly reversed from a purchase entry.</w:t>
            </w:r>
          </w:p>
        </w:tc>
      </w:tr>
    </w:tbl>
    <w:p>
      <w:pPr>
        <w:spacing w:after="200"/>
      </w:pPr>
    </w:p>
    <w:p>
      <w:pPr>
        <w:spacing w:after="160" w:before="260"/>
      </w:pPr>
      <w:r>
        <w:rPr>
          <w:rFonts w:ascii="Inter" w:cs="Inter" w:eastAsia="Inter" w:hAnsi="Inter"/>
          <w:b/>
          <w:bCs/>
          <w:color w:val="0F3D3E"/>
          <w:sz w:val="24"/>
          <w:szCs w:val="24"/>
        </w:rPr>
        <w:t xml:space="preserve">What's not currently supported</w:t>
      </w:r>
    </w:p>
    <w:p>
      <w:pPr>
        <w:spacing w:after="160" w:line="288"/>
      </w:pPr>
      <w:r>
        <w:rPr>
          <w:rFonts w:ascii="Inter" w:cs="Inter" w:eastAsia="Inter" w:hAnsi="Inter"/>
          <w:b w:val="false"/>
          <w:bCs w:val="false"/>
          <w:i w:val="false"/>
          <w:iCs w:val="false"/>
          <w:color w:val="2A2A2A"/>
          <w:sz w:val="21"/>
          <w:szCs w:val="21"/>
        </w:rPr>
        <w:t xml:space="preserve">These aren't oversights we missed — they're things testing showed don't work, or that we've deliberately chosen not to attempt yet because we haven't confirmed they're safe.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none" w:color="FFFFFF" w:sz="0"/>
              <w:left w:val="none" w:color="FFFFFF" w:sz="0"/>
              <w:bottom w:val="none" w:color="FFFFFF" w:sz="0"/>
              <w:right w:val="none" w:color="FFFFFF" w:sz="0"/>
            </w:tcBorders>
            <w:shd w:fill="D9645A" w:val="clear"/>
            <w:tcMar>
              <w:top w:type="dxa" w:w="120"/>
              <w:left w:type="dxa" w:w="160"/>
              <w:bottom w:type="dxa" w:w="120"/>
              <w:right w:type="dxa" w:w="120"/>
            </w:tcMar>
          </w:tcPr>
          <w:p>
            <w:r>
              <w:rPr>
                <w:rFonts w:ascii="Inter" w:cs="Inter" w:eastAsia="Inter" w:hAnsi="Inter"/>
                <w:b/>
                <w:bCs/>
                <w:color w:val="FFFFFF"/>
                <w:sz w:val="20"/>
                <w:szCs w:val="20"/>
              </w:rPr>
              <w:t xml:space="preserve">Not currently supported</w:t>
            </w:r>
          </w:p>
        </w:tc>
        <w:tc>
          <w:tcPr>
            <w:tcW w:type="pct" w:w="33%"/>
            <w:tcBorders>
              <w:top w:val="none" w:color="FFFFFF" w:sz="0"/>
              <w:left w:val="none" w:color="FFFFFF" w:sz="0"/>
              <w:bottom w:val="none" w:color="FFFFFF" w:sz="0"/>
              <w:right w:val="none" w:color="FFFFFF" w:sz="0"/>
            </w:tcBorders>
            <w:shd w:fill="D9645A" w:val="clear"/>
            <w:tcMar>
              <w:top w:type="dxa" w:w="120"/>
              <w:left w:type="dxa" w:w="160"/>
              <w:bottom w:type="dxa" w:w="120"/>
              <w:right w:type="dxa" w:w="120"/>
            </w:tcMar>
          </w:tcPr>
          <w:p>
            <w:r>
              <w:rPr>
                <w:rFonts w:ascii="Inter" w:cs="Inter" w:eastAsia="Inter" w:hAnsi="Inter"/>
                <w:b/>
                <w:bCs/>
                <w:color w:val="FFFFFF"/>
                <w:sz w:val="20"/>
                <w:szCs w:val="20"/>
              </w:rPr>
              <w:t xml:space="preserve">Why</w:t>
            </w:r>
          </w:p>
        </w:tc>
        <w:tc>
          <w:tcPr>
            <w:tcW w:type="pct" w:w="33%"/>
            <w:tcBorders>
              <w:top w:val="none" w:color="FFFFFF" w:sz="0"/>
              <w:left w:val="none" w:color="FFFFFF" w:sz="0"/>
              <w:bottom w:val="none" w:color="FFFFFF" w:sz="0"/>
              <w:right w:val="none" w:color="FFFFFF" w:sz="0"/>
            </w:tcBorders>
            <w:shd w:fill="D9645A" w:val="clear"/>
            <w:tcMar>
              <w:top w:type="dxa" w:w="120"/>
              <w:left w:type="dxa" w:w="160"/>
              <w:bottom w:type="dxa" w:w="120"/>
              <w:right w:type="dxa" w:w="120"/>
            </w:tcMar>
          </w:tcPr>
          <w:p>
            <w:r>
              <w:rPr>
                <w:rFonts w:ascii="Inter" w:cs="Inter" w:eastAsia="Inter" w:hAnsi="Inter"/>
                <w:b/>
                <w:bCs/>
                <w:color w:val="FFFFFF"/>
                <w:sz w:val="20"/>
                <w:szCs w:val="20"/>
              </w:rPr>
              <w:t xml:space="preserve">What happens instead</w:t>
            </w:r>
          </w:p>
        </w:tc>
      </w:tr>
      <w:tr>
        <w:tc>
          <w:tcPr>
            <w:tcW w:type="pct" w:w="34%"/>
            <w:tcBorders>
              <w:top w:val="none" w:color="FFFFFF" w:sz="0"/>
              <w:left w:val="none" w:color="FFFFFF" w:sz="0"/>
              <w:bottom w:val="none" w:color="FFFFFF" w:sz="0"/>
              <w:right w:val="none" w:color="FFFFFF" w:sz="0"/>
            </w:tcBorders>
            <w:shd w:fill="FBEAE8" w:val="clear"/>
            <w:tcMar>
              <w:top w:type="dxa" w:w="130"/>
              <w:left w:type="dxa" w:w="160"/>
              <w:bottom w:type="dxa" w:w="130"/>
              <w:right w:type="dxa" w:w="120"/>
            </w:tcMar>
            <w:vAlign w:val="center"/>
          </w:tcPr>
          <w:p>
            <w:r>
              <w:rPr>
                <w:rFonts w:ascii="Inter" w:cs="Inter" w:eastAsia="Inter" w:hAnsi="Inter"/>
                <w:b/>
                <w:bCs/>
                <w:color w:val="1A1A1A"/>
                <w:sz w:val="20"/>
                <w:szCs w:val="20"/>
              </w:rPr>
              <w:t xml:space="preserve">Automatic tax calculation for inventory items</w:t>
            </w:r>
          </w:p>
        </w:tc>
        <w:tc>
          <w:tcPr>
            <w:tcW w:type="pct" w:w="33%"/>
            <w:tcBorders>
              <w:top w:val="none" w:color="FFFFFF" w:sz="0"/>
              <w:left w:val="none" w:color="FFFFFF" w:sz="0"/>
              <w:bottom w:val="none" w:color="FFFFFF" w:sz="0"/>
              <w:right w:val="none" w:color="FFFFFF" w:sz="0"/>
            </w:tcBorders>
            <w:shd w:fill="FBEAE8" w:val="clear"/>
            <w:tcMar>
              <w:top w:type="dxa" w:w="130"/>
              <w:left w:type="dxa" w:w="160"/>
              <w:bottom w:type="dxa" w:w="130"/>
              <w:right w:type="dxa" w:w="120"/>
            </w:tcMar>
            <w:vAlign w:val="center"/>
          </w:tcPr>
          <w:p>
            <w:r>
              <w:rPr>
                <w:rFonts w:ascii="Inter" w:cs="Inter" w:eastAsia="Inter" w:hAnsi="Inter"/>
                <w:b w:val="false"/>
                <w:bCs w:val="false"/>
                <w:color w:val="2A2A2A"/>
                <w:sz w:val="20"/>
                <w:szCs w:val="20"/>
              </w:rPr>
              <w:t xml:space="preserve">For clients whose Tally books track detailed stock-item tax rates, CAOS can post the entry, but we haven't yet confirmed Tally will calculate the tax correctly on its own for every configuration — only that the amounts we supply directly land correctly.</w:t>
            </w:r>
          </w:p>
        </w:tc>
        <w:tc>
          <w:tcPr>
            <w:tcW w:type="pct" w:w="33%"/>
            <w:tcBorders>
              <w:top w:val="none" w:color="FFFFFF" w:sz="0"/>
              <w:left w:val="none" w:color="FFFFFF" w:sz="0"/>
              <w:bottom w:val="none" w:color="FFFFFF" w:sz="0"/>
              <w:right w:val="none" w:color="FFFFFF" w:sz="0"/>
            </w:tcBorders>
            <w:shd w:fill="FBEAE8" w:val="clear"/>
            <w:tcMar>
              <w:top w:type="dxa" w:w="130"/>
              <w:left w:type="dxa" w:w="160"/>
              <w:bottom w:type="dxa" w:w="130"/>
              <w:right w:type="dxa" w:w="120"/>
            </w:tcMar>
            <w:vAlign w:val="center"/>
          </w:tcPr>
          <w:p>
            <w:r>
              <w:rPr>
                <w:rFonts w:ascii="Inter" w:cs="Inter" w:eastAsia="Inter" w:hAnsi="Inter"/>
                <w:b w:val="false"/>
                <w:bCs w:val="false"/>
                <w:color w:val="2A2A2A"/>
                <w:sz w:val="20"/>
                <w:szCs w:val="20"/>
              </w:rPr>
              <w:t xml:space="preserve">For now, CAOS supplies the calculated tax amount rather than relying on Tally to derive it. This still produces a correct entry; it's a difference in how the number gets there, not in the result.</w:t>
            </w:r>
          </w:p>
        </w:tc>
      </w:tr>
      <w:tr>
        <w:tc>
          <w:tcPr>
            <w:tcW w:type="pct" w:w="34%"/>
            <w:tcBorders>
              <w:top w:val="none" w:color="FFFFFF" w:sz="0"/>
              <w:left w:val="none" w:color="FFFFFF" w:sz="0"/>
              <w:bottom w:val="none" w:color="FFFFFF" w:sz="0"/>
              <w:right w:val="none" w:color="FFFFFF" w:sz="0"/>
            </w:tcBorders>
            <w:shd w:fill="FBEAE8" w:val="clear"/>
            <w:tcMar>
              <w:top w:type="dxa" w:w="130"/>
              <w:left w:type="dxa" w:w="160"/>
              <w:bottom w:type="dxa" w:w="130"/>
              <w:right w:type="dxa" w:w="120"/>
            </w:tcMar>
            <w:vAlign w:val="center"/>
          </w:tcPr>
          <w:p>
            <w:r>
              <w:rPr>
                <w:rFonts w:ascii="Inter" w:cs="Inter" w:eastAsia="Inter" w:hAnsi="Inter"/>
                <w:b/>
                <w:bCs/>
                <w:color w:val="1A1A1A"/>
                <w:sz w:val="20"/>
                <w:szCs w:val="20"/>
              </w:rPr>
              <w:t xml:space="preserve">Quantity- and unit-based stock tracking</w:t>
            </w:r>
          </w:p>
        </w:tc>
        <w:tc>
          <w:tcPr>
            <w:tcW w:type="pct" w:w="33%"/>
            <w:tcBorders>
              <w:top w:val="none" w:color="FFFFFF" w:sz="0"/>
              <w:left w:val="none" w:color="FFFFFF" w:sz="0"/>
              <w:bottom w:val="none" w:color="FFFFFF" w:sz="0"/>
              <w:right w:val="none" w:color="FFFFFF" w:sz="0"/>
            </w:tcBorders>
            <w:shd w:fill="FBEAE8" w:val="clear"/>
            <w:tcMar>
              <w:top w:type="dxa" w:w="130"/>
              <w:left w:type="dxa" w:w="160"/>
              <w:bottom w:type="dxa" w:w="130"/>
              <w:right w:type="dxa" w:w="120"/>
            </w:tcMar>
            <w:vAlign w:val="center"/>
          </w:tcPr>
          <w:p>
            <w:r>
              <w:rPr>
                <w:rFonts w:ascii="Inter" w:cs="Inter" w:eastAsia="Inter" w:hAnsi="Inter"/>
                <w:b w:val="false"/>
                <w:bCs w:val="false"/>
                <w:color w:val="2A2A2A"/>
                <w:sz w:val="20"/>
                <w:szCs w:val="20"/>
              </w:rPr>
              <w:t xml:space="preserve">We've confirmed CAOS can post entries for stock items, but haven't yet tested one that tracks quantity and a unit of measure (e.g. “12 boxes” rather than just a rupee value) — every item tested so far has been value-only.</w:t>
            </w:r>
          </w:p>
        </w:tc>
        <w:tc>
          <w:tcPr>
            <w:tcW w:type="pct" w:w="33%"/>
            <w:tcBorders>
              <w:top w:val="none" w:color="FFFFFF" w:sz="0"/>
              <w:left w:val="none" w:color="FFFFFF" w:sz="0"/>
              <w:bottom w:val="none" w:color="FFFFFF" w:sz="0"/>
              <w:right w:val="none" w:color="FFFFFF" w:sz="0"/>
            </w:tcBorders>
            <w:shd w:fill="FBEAE8" w:val="clear"/>
            <w:tcMar>
              <w:top w:type="dxa" w:w="130"/>
              <w:left w:type="dxa" w:w="160"/>
              <w:bottom w:type="dxa" w:w="130"/>
              <w:right w:type="dxa" w:w="120"/>
            </w:tcMar>
            <w:vAlign w:val="center"/>
          </w:tcPr>
          <w:p>
            <w:r>
              <w:rPr>
                <w:rFonts w:ascii="Inter" w:cs="Inter" w:eastAsia="Inter" w:hAnsi="Inter"/>
                <w:b w:val="false"/>
                <w:bCs w:val="false"/>
                <w:color w:val="2A2A2A"/>
                <w:sz w:val="20"/>
                <w:szCs w:val="20"/>
              </w:rPr>
              <w:t xml:space="preserve">This affects only inventory-tracking clients with quantity-based stock items, and only the depth of automation for those entries — not whether CAOS can work with that client at all.</w:t>
            </w:r>
          </w:p>
        </w:tc>
      </w:tr>
    </w:tbl>
    <w:p>
      <w:pPr>
        <w:spacing w:after="200"/>
      </w:pPr>
    </w:p>
    <w:p>
      <w:pPr>
        <w:spacing w:after="160" w:before="260"/>
      </w:pPr>
      <w:r>
        <w:rPr>
          <w:rFonts w:ascii="Inter" w:cs="Inter" w:eastAsia="Inter" w:hAnsi="Inter"/>
          <w:b/>
          <w:bCs/>
          <w:color w:val="0F3D3E"/>
          <w:sz w:val="24"/>
          <w:szCs w:val="24"/>
        </w:rPr>
        <w:t xml:space="preserve">A safeguard we built in — and why</w:t>
      </w:r>
    </w:p>
    <w:p>
      <w:pPr>
        <w:spacing w:after="160" w:line="288"/>
      </w:pPr>
      <w:r>
        <w:rPr>
          <w:rFonts w:ascii="Inter" w:cs="Inter" w:eastAsia="Inter" w:hAnsi="Inter"/>
          <w:b w:val="false"/>
          <w:bCs w:val="false"/>
          <w:i w:val="false"/>
          <w:iCs w:val="false"/>
          <w:color w:val="2A2A2A"/>
          <w:sz w:val="21"/>
          <w:szCs w:val="21"/>
        </w:rPr>
        <w:t xml:space="preserve">During testing, we found one specific, unusual instruction that could cause the Tally application itself to need a restart — not CAOS, Tally. It only happens with a malformed instruction that a normal, correctly-built system would never send.</w:t>
      </w:r>
    </w:p>
    <w:tbl>
      <w:tblPr>
        <w:tblW w:type="pct" w:w="100%"/>
        <w:tblBorders>
          <w:top w:val="single" w:color="0F3D3E" w:sz="4"/>
          <w:left w:val="single" w:color="0F3D3E" w:sz="24"/>
          <w:bottom w:val="single" w:color="0F3D3E" w:sz="4"/>
          <w:right w:val="single" w:color="0F3D3E" w:sz="4"/>
          <w:insideH w:val="none" w:color="FFFFFF" w:sz="0"/>
          <w:insideV w:val="none" w:color="FFFFFF" w:sz="0"/>
        </w:tblBorders>
      </w:tblPr>
      <w:tblGrid>
        <w:gridCol w:w="100"/>
      </w:tblGrid>
      <w:tr>
        <w:tc>
          <w:tcPr>
            <w:shd w:fill="E6EEED" w:val="clear"/>
            <w:tcMar>
              <w:top w:type="dxa" w:w="160"/>
              <w:left w:type="dxa" w:w="220"/>
              <w:bottom w:type="dxa" w:w="160"/>
              <w:right w:type="dxa" w:w="220"/>
            </w:tcMar>
          </w:tcPr>
          <w:p>
            <w:pPr>
              <w:spacing w:after="60"/>
            </w:pPr>
            <w:r>
              <w:rPr>
                <w:rFonts w:ascii="Inter" w:cs="Inter" w:eastAsia="Inter" w:hAnsi="Inter"/>
                <w:b/>
                <w:bCs/>
                <w:color w:val="0F3D3E"/>
                <w:sz w:val="20"/>
                <w:szCs w:val="20"/>
              </w:rPr>
              <w:t xml:space="preserve">What we did about it</w:t>
            </w:r>
          </w:p>
          <w:p>
            <w:r>
              <w:rPr>
                <w:rFonts w:ascii="Inter" w:cs="Inter" w:eastAsia="Inter" w:hAnsi="Inter"/>
                <w:color w:val="2A2A2A"/>
                <w:sz w:val="20"/>
                <w:szCs w:val="20"/>
              </w:rPr>
              <w:t xml:space="preserve">CAOS's design specifically avoids ever constructing that kind of instruction. We've also reported the underlying behavior directly to Tally Solutions, since it looks like something worth them fixing at the source, independent of anything CAOS does.</w:t>
            </w:r>
          </w:p>
        </w:tc>
      </w:tr>
    </w:tbl>
    <w:p>
      <w:pPr>
        <w:spacing w:after="260" w:line="288"/>
      </w:pPr>
      <w:r>
        <w:rPr>
          <w:rFonts w:ascii="Inter" w:cs="Inter" w:eastAsia="Inter" w:hAnsi="Inter"/>
          <w:b w:val="false"/>
          <w:bCs w:val="false"/>
          <w:i w:val="false"/>
          <w:iCs w:val="false"/>
          <w:color w:val="2A2A2A"/>
          <w:sz w:val="21"/>
          <w:szCs w:val="21"/>
        </w:rPr>
        <w:t xml:space="preserve">We're including this not because it's a live risk to your data — it isn't, given how CAOS is built — but because we'd rather you hear about something like this from us, in plain terms, than not hear about it at all.</w:t>
      </w:r>
    </w:p>
    <w:p>
      <w:pPr>
        <w:spacing w:after="160" w:before="260"/>
      </w:pPr>
      <w:r>
        <w:rPr>
          <w:rFonts w:ascii="Inter" w:cs="Inter" w:eastAsia="Inter" w:hAnsi="Inter"/>
          <w:b/>
          <w:bCs/>
          <w:color w:val="0F3D3E"/>
          <w:sz w:val="24"/>
          <w:szCs w:val="24"/>
        </w:rPr>
        <w:t xml:space="preserve">What's still being finalized</w:t>
      </w:r>
    </w:p>
    <w:p>
      <w:pPr>
        <w:spacing w:after="160" w:line="288"/>
      </w:pPr>
      <w:r>
        <w:rPr>
          <w:rFonts w:ascii="Inter" w:cs="Inter" w:eastAsia="Inter" w:hAnsi="Inter"/>
          <w:b w:val="false"/>
          <w:bCs w:val="false"/>
          <w:i w:val="false"/>
          <w:iCs w:val="false"/>
          <w:color w:val="2A2A2A"/>
          <w:sz w:val="21"/>
          <w:szCs w:val="21"/>
        </w:rPr>
        <w:t xml:space="preserve">Before we'd recommend full production rollout across every client's Tally setup, this is still in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none" w:color="FFFFFF" w:sz="0"/>
              <w:left w:val="none" w:color="FFFFFF" w:sz="0"/>
              <w:bottom w:val="none" w:color="FFFFFF" w:sz="0"/>
              <w:right w:val="none" w:color="FFFFFF" w:sz="0"/>
            </w:tcBorders>
            <w:shd w:fill="E8A33D" w:val="clear"/>
            <w:tcMar>
              <w:top w:type="dxa" w:w="120"/>
              <w:left w:type="dxa" w:w="160"/>
              <w:bottom w:type="dxa" w:w="120"/>
              <w:right w:type="dxa" w:w="120"/>
            </w:tcMar>
          </w:tcPr>
          <w:p>
            <w:r>
              <w:rPr>
                <w:rFonts w:ascii="Inter" w:cs="Inter" w:eastAsia="Inter" w:hAnsi="Inter"/>
                <w:b/>
                <w:bCs/>
                <w:color w:val="FFFFFF"/>
                <w:sz w:val="20"/>
                <w:szCs w:val="20"/>
              </w:rPr>
              <w:t xml:space="preserve">Still being finalized</w:t>
            </w:r>
          </w:p>
        </w:tc>
        <w:tc>
          <w:tcPr>
            <w:tcW w:type="pct" w:w="50%"/>
            <w:tcBorders>
              <w:top w:val="none" w:color="FFFFFF" w:sz="0"/>
              <w:left w:val="none" w:color="FFFFFF" w:sz="0"/>
              <w:bottom w:val="none" w:color="FFFFFF" w:sz="0"/>
              <w:right w:val="none" w:color="FFFFFF" w:sz="0"/>
            </w:tcBorders>
            <w:shd w:fill="E8A33D" w:val="clear"/>
            <w:tcMar>
              <w:top w:type="dxa" w:w="120"/>
              <w:left w:type="dxa" w:w="120"/>
              <w:bottom w:type="dxa" w:w="120"/>
              <w:right w:type="dxa" w:w="160"/>
            </w:tcMar>
          </w:tcPr>
          <w:p>
            <w:r>
              <w:rPr>
                <w:rFonts w:ascii="Inter" w:cs="Inter" w:eastAsia="Inter" w:hAnsi="Inter"/>
                <w:b/>
                <w:bCs/>
                <w:color w:val="FFFFFF"/>
                <w:sz w:val="20"/>
                <w:szCs w:val="20"/>
              </w:rPr>
              <w:t xml:space="preserve">What's involved</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Full inventory-and-tax validation</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Confirming Tally correctly derives GST from a stock item's own configuration, for clients with detailed inventory setups — not just that CAOS-supplied amounts land correctly.</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Production Tally environment checks</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Our testing so far used a controlled test environment. We'll run a short confirmation pass against a live client's actual Tally setup before that client's entries go through CAOS for real.</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2. Zoho Books Integration</w:t>
      </w:r>
    </w:p>
    <w:p>
      <w:pPr>
        <w:spacing w:after="160" w:line="288"/>
      </w:pPr>
      <w:r>
        <w:rPr>
          <w:rFonts w:ascii="Inter" w:cs="Inter" w:eastAsia="Inter" w:hAnsi="Inter"/>
          <w:b w:val="false"/>
          <w:bCs w:val="false"/>
          <w:i w:val="false"/>
          <w:iCs w:val="false"/>
          <w:color w:val="2A2A2A"/>
          <w:sz w:val="21"/>
          <w:szCs w:val="21"/>
        </w:rPr>
        <w:t xml:space="preserve">Roughly 20-40% of the client base keeps its books in Zoho Books rather than Tally. CAOS is built to handle both the same way — staff never have to think about which system a given client uses.</w:t>
      </w:r>
    </w:p>
    <w:p>
      <w:pPr>
        <w:spacing w:after="160" w:before="260"/>
      </w:pPr>
      <w:r>
        <w:rPr>
          <w:rFonts w:ascii="Inter" w:cs="Inter" w:eastAsia="Inter" w:hAnsi="Inter"/>
          <w:b/>
          <w:bCs/>
          <w:color w:val="0F3D3E"/>
          <w:sz w:val="24"/>
          <w:szCs w:val="24"/>
        </w:rPr>
        <w:t xml:space="preserve">What's confirmed working today</w:t>
      </w:r>
    </w:p>
    <w:p>
      <w:pPr>
        <w:spacing w:after="160" w:line="288"/>
      </w:pPr>
      <w:r>
        <w:rPr>
          <w:rFonts w:ascii="Inter" w:cs="Inter" w:eastAsia="Inter" w:hAnsi="Inter"/>
          <w:b w:val="false"/>
          <w:bCs w:val="false"/>
          <w:i w:val="false"/>
          <w:iCs w:val="false"/>
          <w:color w:val="2A2A2A"/>
          <w:sz w:val="21"/>
          <w:szCs w:val="21"/>
        </w:rPr>
        <w:t xml:space="preserve">Tested directly against a real Zoho Books account, with the same discipline as the Tally testing above — reading results back to confirm, not trusting a single success 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none" w:color="FFFFFF" w:sz="0"/>
              <w:left w:val="none" w:color="FFFFFF" w:sz="0"/>
              <w:bottom w:val="none" w:color="FFFFFF" w:sz="0"/>
              <w:right w:val="none" w:color="FFFFFF" w:sz="0"/>
            </w:tcBorders>
            <w:shd w:fill="0F3D3E" w:val="clear"/>
            <w:tcMar>
              <w:top w:type="dxa" w:w="120"/>
              <w:left w:type="dxa" w:w="160"/>
              <w:bottom w:type="dxa" w:w="120"/>
              <w:right w:type="dxa" w:w="120"/>
            </w:tcMar>
          </w:tcPr>
          <w:p>
            <w:r>
              <w:rPr>
                <w:rFonts w:ascii="Inter" w:cs="Inter" w:eastAsia="Inter" w:hAnsi="Inter"/>
                <w:b/>
                <w:bCs/>
                <w:color w:val="FFFFFF"/>
                <w:sz w:val="20"/>
                <w:szCs w:val="20"/>
              </w:rPr>
              <w:t xml:space="preserve">Capability</w:t>
            </w:r>
          </w:p>
        </w:tc>
        <w:tc>
          <w:tcPr>
            <w:tcW w:type="pct" w:w="45%"/>
            <w:tcBorders>
              <w:top w:val="none" w:color="FFFFFF" w:sz="0"/>
              <w:left w:val="none" w:color="FFFFFF" w:sz="0"/>
              <w:bottom w:val="none" w:color="FFFFFF" w:sz="0"/>
              <w:right w:val="none" w:color="FFFFFF" w:sz="0"/>
            </w:tcBorders>
            <w:shd w:fill="0F3D3E" w:val="clear"/>
            <w:tcMar>
              <w:top w:type="dxa" w:w="120"/>
              <w:left w:type="dxa" w:w="120"/>
              <w:bottom w:type="dxa" w:w="120"/>
              <w:right w:type="dxa" w:w="160"/>
            </w:tcMar>
          </w:tcPr>
          <w:p>
            <w:r>
              <w:rPr>
                <w:rFonts w:ascii="Inter" w:cs="Inter" w:eastAsia="Inter" w:hAnsi="Inter"/>
                <w:b/>
                <w:bCs/>
                <w:color w:val="FFFFFF"/>
                <w:sz w:val="20"/>
                <w:szCs w:val="20"/>
              </w:rPr>
              <w:t xml:space="preserve">What this means in practice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Secure, lasting connection to a client's account</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Once connected, CAOS stays connected without needing anyone to repeat a login — confirmed by testing the connection over time, not just once.</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Reading existing entries reliably</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CAOS can pull transaction data out of a client's Zoho Books accurately, the same way it does for Tally.</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Posting purchase entries with correct tax</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Entries CAOS creates carry the right CGST/SGST split, verified by reading the entry back afterward.</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Catching a tax-selection mistake before it posts</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Whether a transaction is within the same state or across states determines which tax applies. Zoho actively rejects an entry if this is set incorrectly rather than silently posting it wrong — an extra safeguard on top of CAOS getting it right up front.</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Duplicate-prevention, on top of Zoho's own</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Zoho itself refuses an exact repeat of the same vendor and invoice number. CAOS's own independent duplicate check — the same one used for Tally — runs regardless, since Zoho's built-in protection alone doesn't cover every case.</w:t>
            </w:r>
          </w:p>
        </w:tc>
      </w:tr>
    </w:tbl>
    <w:p>
      <w:pPr>
        <w:spacing w:after="200"/>
      </w:pPr>
    </w:p>
    <w:p>
      <w:pPr>
        <w:spacing w:after="160" w:before="260"/>
      </w:pPr>
      <w:r>
        <w:rPr>
          <w:rFonts w:ascii="Inter" w:cs="Inter" w:eastAsia="Inter" w:hAnsi="Inter"/>
          <w:b/>
          <w:bCs/>
          <w:color w:val="0F3D3E"/>
          <w:sz w:val="24"/>
          <w:szCs w:val="24"/>
        </w:rPr>
        <w:t xml:space="preserve">What's still being finalized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none" w:color="FFFFFF" w:sz="0"/>
              <w:left w:val="none" w:color="FFFFFF" w:sz="0"/>
              <w:bottom w:val="none" w:color="FFFFFF" w:sz="0"/>
              <w:right w:val="none" w:color="FFFFFF" w:sz="0"/>
            </w:tcBorders>
            <w:shd w:fill="E8A33D" w:val="clear"/>
            <w:tcMar>
              <w:top w:type="dxa" w:w="120"/>
              <w:left w:type="dxa" w:w="160"/>
              <w:bottom w:type="dxa" w:w="120"/>
              <w:right w:type="dxa" w:w="120"/>
            </w:tcMar>
          </w:tcPr>
          <w:p>
            <w:r>
              <w:rPr>
                <w:rFonts w:ascii="Inter" w:cs="Inter" w:eastAsia="Inter" w:hAnsi="Inter"/>
                <w:b/>
                <w:bCs/>
                <w:color w:val="FFFFFF"/>
                <w:sz w:val="20"/>
                <w:szCs w:val="20"/>
              </w:rPr>
              <w:t xml:space="preserve">Still being finalized</w:t>
            </w:r>
          </w:p>
        </w:tc>
        <w:tc>
          <w:tcPr>
            <w:tcW w:type="pct" w:w="50%"/>
            <w:tcBorders>
              <w:top w:val="none" w:color="FFFFFF" w:sz="0"/>
              <w:left w:val="none" w:color="FFFFFF" w:sz="0"/>
              <w:bottom w:val="none" w:color="FFFFFF" w:sz="0"/>
              <w:right w:val="none" w:color="FFFFFF" w:sz="0"/>
            </w:tcBorders>
            <w:shd w:fill="E8A33D" w:val="clear"/>
            <w:tcMar>
              <w:top w:type="dxa" w:w="120"/>
              <w:left w:type="dxa" w:w="120"/>
              <w:bottom w:type="dxa" w:w="120"/>
              <w:right w:type="dxa" w:w="160"/>
            </w:tcMar>
          </w:tcPr>
          <w:p>
            <w:r>
              <w:rPr>
                <w:rFonts w:ascii="Inter" w:cs="Inter" w:eastAsia="Inter" w:hAnsi="Inter"/>
                <w:b/>
                <w:bCs/>
                <w:color w:val="FFFFFF"/>
                <w:sz w:val="20"/>
                <w:szCs w:val="20"/>
              </w:rPr>
              <w:t xml:space="preserve">What's involved</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One-time setup per client</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Before CAOS can post GST-related entries, a client's Zoho Books account needs GST tracking turned on with their GSTIN entered — a one-time step in Zoho itself, not something CAOS can do automatically. CAOS will flag any client where this hasn't been done yet.</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Production Zoho environment checks</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Testing so far used a dedicated test account. We'll run a short confirmation pass against a live client's actual Zoho Books account before that client's entries go through CAOS for real.</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3. Document Intake — Dropbox</w:t>
      </w:r>
    </w:p>
    <w:p>
      <w:pPr>
        <w:spacing w:after="160" w:line="288"/>
      </w:pPr>
      <w:r>
        <w:rPr>
          <w:rFonts w:ascii="Inter" w:cs="Inter" w:eastAsia="Inter" w:hAnsi="Inter"/>
          <w:b w:val="false"/>
          <w:bCs w:val="false"/>
          <w:i w:val="false"/>
          <w:iCs w:val="false"/>
          <w:color w:val="2A2A2A"/>
          <w:sz w:val="21"/>
          <w:szCs w:val="21"/>
        </w:rPr>
        <w:t xml:space="preserve">Client documents that arrive via Dropbox need to be picked up automatically, without anyone watching the folder or refreshing it manually.</w:t>
      </w:r>
    </w:p>
    <w:p>
      <w:pPr>
        <w:spacing w:after="160" w:before="260"/>
      </w:pPr>
      <w:r>
        <w:rPr>
          <w:rFonts w:ascii="Inter" w:cs="Inter" w:eastAsia="Inter" w:hAnsi="Inter"/>
          <w:b/>
          <w:bCs/>
          <w:color w:val="0F3D3E"/>
          <w:sz w:val="24"/>
          <w:szCs w:val="24"/>
        </w:rPr>
        <w:t xml:space="preserve">What's confirmed working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none" w:color="FFFFFF" w:sz="0"/>
              <w:left w:val="none" w:color="FFFFFF" w:sz="0"/>
              <w:bottom w:val="none" w:color="FFFFFF" w:sz="0"/>
              <w:right w:val="none" w:color="FFFFFF" w:sz="0"/>
            </w:tcBorders>
            <w:shd w:fill="0F3D3E" w:val="clear"/>
            <w:tcMar>
              <w:top w:type="dxa" w:w="120"/>
              <w:left w:type="dxa" w:w="160"/>
              <w:bottom w:type="dxa" w:w="120"/>
              <w:right w:type="dxa" w:w="120"/>
            </w:tcMar>
          </w:tcPr>
          <w:p>
            <w:r>
              <w:rPr>
                <w:rFonts w:ascii="Inter" w:cs="Inter" w:eastAsia="Inter" w:hAnsi="Inter"/>
                <w:b/>
                <w:bCs/>
                <w:color w:val="FFFFFF"/>
                <w:sz w:val="20"/>
                <w:szCs w:val="20"/>
              </w:rPr>
              <w:t xml:space="preserve">Capability</w:t>
            </w:r>
          </w:p>
        </w:tc>
        <w:tc>
          <w:tcPr>
            <w:tcW w:type="pct" w:w="45%"/>
            <w:tcBorders>
              <w:top w:val="none" w:color="FFFFFF" w:sz="0"/>
              <w:left w:val="none" w:color="FFFFFF" w:sz="0"/>
              <w:bottom w:val="none" w:color="FFFFFF" w:sz="0"/>
              <w:right w:val="none" w:color="FFFFFF" w:sz="0"/>
            </w:tcBorders>
            <w:shd w:fill="0F3D3E" w:val="clear"/>
            <w:tcMar>
              <w:top w:type="dxa" w:w="120"/>
              <w:left w:type="dxa" w:w="120"/>
              <w:bottom w:type="dxa" w:w="120"/>
              <w:right w:type="dxa" w:w="160"/>
            </w:tcMar>
          </w:tcPr>
          <w:p>
            <w:r>
              <w:rPr>
                <w:rFonts w:ascii="Inter" w:cs="Inter" w:eastAsia="Inter" w:hAnsi="Inter"/>
                <w:b/>
                <w:bCs/>
                <w:color w:val="FFFFFF"/>
                <w:sz w:val="20"/>
                <w:szCs w:val="20"/>
              </w:rPr>
              <w:t xml:space="preserve">What this means in practice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Automatic detection of new or changed documents</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Tested directly: adding, changing, and removing a file in the watched folder was detected within moments every time, with no manual refresh needed.</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Fast enough to never miss a notification</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Dropbox requires a response within 10 seconds or it may stop sending updates. In testing, CAOS responded in well under a tenth of a second — comfortably inside that window.</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Scoped access, not full account access</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CAOS only has access to the folder tree it needs, not the practice's entire Dropbox — confirmed directly, not just configured and assumed.</w:t>
            </w:r>
          </w:p>
        </w:tc>
      </w:tr>
    </w:tbl>
    <w:p>
      <w:pPr>
        <w:spacing w:after="200"/>
      </w:pPr>
    </w:p>
    <w:p>
      <w:pPr>
        <w:spacing w:after="160" w:before="260"/>
      </w:pPr>
      <w:r>
        <w:rPr>
          <w:rFonts w:ascii="Inter" w:cs="Inter" w:eastAsia="Inter" w:hAnsi="Inter"/>
          <w:b/>
          <w:bCs/>
          <w:color w:val="0F3D3E"/>
          <w:sz w:val="24"/>
          <w:szCs w:val="24"/>
        </w:rPr>
        <w:t xml:space="preserve">A safeguard being finalized — and why</w:t>
      </w:r>
    </w:p>
    <w:p>
      <w:pPr>
        <w:spacing w:after="160" w:line="288"/>
      </w:pPr>
      <w:r>
        <w:rPr>
          <w:rFonts w:ascii="Inter" w:cs="Inter" w:eastAsia="Inter" w:hAnsi="Inter"/>
          <w:b w:val="false"/>
          <w:bCs w:val="false"/>
          <w:i w:val="false"/>
          <w:iCs w:val="false"/>
          <w:color w:val="2A2A2A"/>
          <w:sz w:val="21"/>
          <w:szCs w:val="21"/>
        </w:rPr>
        <w:t xml:space="preserve">During testing, we found that if CAOS itself ever writes a file into the watched folder — for example, a processed-document marker — it would notice its own write the same way it notices a client's.</w:t>
      </w:r>
    </w:p>
    <w:tbl>
      <w:tblPr>
        <w:tblW w:type="pct" w:w="100%"/>
        <w:tblBorders>
          <w:top w:val="single" w:color="0F3D3E" w:sz="4"/>
          <w:left w:val="single" w:color="0F3D3E" w:sz="24"/>
          <w:bottom w:val="single" w:color="0F3D3E" w:sz="4"/>
          <w:right w:val="single" w:color="0F3D3E" w:sz="4"/>
          <w:insideH w:val="none" w:color="FFFFFF" w:sz="0"/>
          <w:insideV w:val="none" w:color="FFFFFF" w:sz="0"/>
        </w:tblBorders>
      </w:tblPr>
      <w:tblGrid>
        <w:gridCol w:w="100"/>
      </w:tblGrid>
      <w:tr>
        <w:tc>
          <w:tcPr>
            <w:shd w:fill="E6EEED" w:val="clear"/>
            <w:tcMar>
              <w:top w:type="dxa" w:w="160"/>
              <w:left w:type="dxa" w:w="220"/>
              <w:bottom w:type="dxa" w:w="160"/>
              <w:right w:type="dxa" w:w="220"/>
            </w:tcMar>
          </w:tcPr>
          <w:p>
            <w:pPr>
              <w:spacing w:after="60"/>
            </w:pPr>
            <w:r>
              <w:rPr>
                <w:rFonts w:ascii="Inter" w:cs="Inter" w:eastAsia="Inter" w:hAnsi="Inter"/>
                <w:b/>
                <w:bCs/>
                <w:color w:val="0F3D3E"/>
                <w:sz w:val="20"/>
                <w:szCs w:val="20"/>
              </w:rPr>
              <w:t xml:space="preserve">What we're doing about it</w:t>
            </w:r>
          </w:p>
          <w:p>
            <w:r>
              <w:rPr>
                <w:rFonts w:ascii="Inter" w:cs="Inter" w:eastAsia="Inter" w:hAnsi="Inter"/>
                <w:color w:val="2A2A2A"/>
                <w:sz w:val="20"/>
                <w:szCs w:val="20"/>
              </w:rPr>
              <w:t xml:space="preserve">We're building a straightforward fix before this goes live: either writing any such files somewhere CAOS doesn't watch, or teaching it to recognize and ignore its own writes. Same principle as the Tally note above — we'd rather you hear about this from us, in plain terms, than not hear about it at all.</w:t>
            </w:r>
          </w:p>
        </w:tc>
      </w:tr>
    </w:tbl>
    <w:p>
      <w:pPr>
        <w:spacing w:after="200"/>
      </w:pPr>
    </w:p>
    <w:p>
      <w:pPr>
        <w:spacing w:after="160" w:before="260"/>
      </w:pPr>
      <w:r>
        <w:rPr>
          <w:rFonts w:ascii="Inter" w:cs="Inter" w:eastAsia="Inter" w:hAnsi="Inter"/>
          <w:b/>
          <w:bCs/>
          <w:color w:val="0F3D3E"/>
          <w:sz w:val="24"/>
          <w:szCs w:val="24"/>
        </w:rPr>
        <w:t xml:space="preserve">What's still being finalized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none" w:color="FFFFFF" w:sz="0"/>
              <w:left w:val="none" w:color="FFFFFF" w:sz="0"/>
              <w:bottom w:val="none" w:color="FFFFFF" w:sz="0"/>
              <w:right w:val="none" w:color="FFFFFF" w:sz="0"/>
            </w:tcBorders>
            <w:shd w:fill="E8A33D" w:val="clear"/>
            <w:tcMar>
              <w:top w:type="dxa" w:w="120"/>
              <w:left w:type="dxa" w:w="160"/>
              <w:bottom w:type="dxa" w:w="120"/>
              <w:right w:type="dxa" w:w="120"/>
            </w:tcMar>
          </w:tcPr>
          <w:p>
            <w:r>
              <w:rPr>
                <w:rFonts w:ascii="Inter" w:cs="Inter" w:eastAsia="Inter" w:hAnsi="Inter"/>
                <w:b/>
                <w:bCs/>
                <w:color w:val="FFFFFF"/>
                <w:sz w:val="20"/>
                <w:szCs w:val="20"/>
              </w:rPr>
              <w:t xml:space="preserve">Still being finalized</w:t>
            </w:r>
          </w:p>
        </w:tc>
        <w:tc>
          <w:tcPr>
            <w:tcW w:type="pct" w:w="50%"/>
            <w:tcBorders>
              <w:top w:val="none" w:color="FFFFFF" w:sz="0"/>
              <w:left w:val="none" w:color="FFFFFF" w:sz="0"/>
              <w:bottom w:val="none" w:color="FFFFFF" w:sz="0"/>
              <w:right w:val="none" w:color="FFFFFF" w:sz="0"/>
            </w:tcBorders>
            <w:shd w:fill="E8A33D" w:val="clear"/>
            <w:tcMar>
              <w:top w:type="dxa" w:w="120"/>
              <w:left w:type="dxa" w:w="120"/>
              <w:bottom w:type="dxa" w:w="120"/>
              <w:right w:type="dxa" w:w="160"/>
            </w:tcMar>
          </w:tcPr>
          <w:p>
            <w:r>
              <w:rPr>
                <w:rFonts w:ascii="Inter" w:cs="Inter" w:eastAsia="Inter" w:hAnsi="Inter"/>
                <w:b/>
                <w:bCs/>
                <w:color w:val="FFFFFF"/>
                <w:sz w:val="20"/>
                <w:szCs w:val="20"/>
              </w:rPr>
              <w:t xml:space="preserve">What's involved</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Self-write safeguard</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See above — a fix is planned, not yet built.</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Production Dropbox environment checks</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Testing so far used a dedicated test folder. We'll run a short confirmation pass against the practice's actual Dropbox before this goes live for real client documents.</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4. GST Filing Data Access</w:t>
      </w:r>
    </w:p>
    <w:p>
      <w:pPr>
        <w:spacing w:after="160" w:line="288"/>
      </w:pPr>
      <w:r>
        <w:rPr>
          <w:rFonts w:ascii="Inter" w:cs="Inter" w:eastAsia="Inter" w:hAnsi="Inter"/>
          <w:b w:val="false"/>
          <w:bCs w:val="false"/>
          <w:i w:val="false"/>
          <w:iCs w:val="false"/>
          <w:color w:val="2A2A2A"/>
          <w:sz w:val="21"/>
          <w:szCs w:val="21"/>
        </w:rPr>
        <w:t xml:space="preserve">Reconciliation depends on pulling GSTR-2A/2B data from the government's own system automatically, rather than anyone logging in and downloading it by hand each period.</w:t>
      </w:r>
    </w:p>
    <w:p>
      <w:pPr>
        <w:spacing w:after="160" w:before="260"/>
      </w:pPr>
      <w:r>
        <w:rPr>
          <w:rFonts w:ascii="Inter" w:cs="Inter" w:eastAsia="Inter" w:hAnsi="Inter"/>
          <w:b/>
          <w:bCs/>
          <w:color w:val="0F3D3E"/>
          <w:sz w:val="24"/>
          <w:szCs w:val="24"/>
        </w:rPr>
        <w:t xml:space="preserve">What's confirmed working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none" w:color="FFFFFF" w:sz="0"/>
              <w:left w:val="none" w:color="FFFFFF" w:sz="0"/>
              <w:bottom w:val="none" w:color="FFFFFF" w:sz="0"/>
              <w:right w:val="none" w:color="FFFFFF" w:sz="0"/>
            </w:tcBorders>
            <w:shd w:fill="0F3D3E" w:val="clear"/>
            <w:tcMar>
              <w:top w:type="dxa" w:w="120"/>
              <w:left w:type="dxa" w:w="160"/>
              <w:bottom w:type="dxa" w:w="120"/>
              <w:right w:type="dxa" w:w="120"/>
            </w:tcMar>
          </w:tcPr>
          <w:p>
            <w:r>
              <w:rPr>
                <w:rFonts w:ascii="Inter" w:cs="Inter" w:eastAsia="Inter" w:hAnsi="Inter"/>
                <w:b/>
                <w:bCs/>
                <w:color w:val="FFFFFF"/>
                <w:sz w:val="20"/>
                <w:szCs w:val="20"/>
              </w:rPr>
              <w:t xml:space="preserve">Capability</w:t>
            </w:r>
          </w:p>
        </w:tc>
        <w:tc>
          <w:tcPr>
            <w:tcW w:type="pct" w:w="45%"/>
            <w:tcBorders>
              <w:top w:val="none" w:color="FFFFFF" w:sz="0"/>
              <w:left w:val="none" w:color="FFFFFF" w:sz="0"/>
              <w:bottom w:val="none" w:color="FFFFFF" w:sz="0"/>
              <w:right w:val="none" w:color="FFFFFF" w:sz="0"/>
            </w:tcBorders>
            <w:shd w:fill="0F3D3E" w:val="clear"/>
            <w:tcMar>
              <w:top w:type="dxa" w:w="120"/>
              <w:left w:type="dxa" w:w="120"/>
              <w:bottom w:type="dxa" w:w="120"/>
              <w:right w:type="dxa" w:w="160"/>
            </w:tcMar>
          </w:tcPr>
          <w:p>
            <w:r>
              <w:rPr>
                <w:rFonts w:ascii="Inter" w:cs="Inter" w:eastAsia="Inter" w:hAnsi="Inter"/>
                <w:b/>
                <w:bCs/>
                <w:color w:val="FFFFFF"/>
                <w:sz w:val="20"/>
                <w:szCs w:val="20"/>
              </w:rPr>
              <w:t xml:space="preserve">What this means in practice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Automatic, API-based data retrieval</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Tested directly: CAOS can request GST return data straight from the government system, without anyone needing to log in and download anything by hand.</w:t>
            </w:r>
          </w:p>
        </w:tc>
      </w:tr>
    </w:tbl>
    <w:p>
      <w:pPr>
        <w:spacing w:after="200"/>
      </w:pPr>
    </w:p>
    <w:p>
      <w:pPr>
        <w:spacing w:after="160" w:before="260"/>
      </w:pPr>
      <w:r>
        <w:rPr>
          <w:rFonts w:ascii="Inter" w:cs="Inter" w:eastAsia="Inter" w:hAnsi="Inter"/>
          <w:b/>
          <w:bCs/>
          <w:color w:val="0F3D3E"/>
          <w:sz w:val="24"/>
          <w:szCs w:val="24"/>
        </w:rPr>
        <w:t xml:space="preserve">A government rule that affects how this works</w:t>
      </w:r>
    </w:p>
    <w:p>
      <w:pPr>
        <w:spacing w:after="160" w:line="288"/>
      </w:pPr>
      <w:r>
        <w:rPr>
          <w:rFonts w:ascii="Inter" w:cs="Inter" w:eastAsia="Inter" w:hAnsi="Inter"/>
          <w:b w:val="false"/>
          <w:bCs w:val="false"/>
          <w:i w:val="false"/>
          <w:iCs w:val="false"/>
          <w:color w:val="2A2A2A"/>
          <w:sz w:val="21"/>
          <w:szCs w:val="21"/>
        </w:rPr>
        <w:t xml:space="preserve">Access to a client's GST data is governed by a rule on the government's own GST portal, not by CAOS or any software vendor: the client — not the practice — has to periodically re-confirm this access, roughly once a month, by entering a one-time password sent to their own phone or email. This is true for every practice-automation tool that connects to GST data this way — it's a government-mandated security control, not a limitation specific to CAOS.</w:t>
      </w:r>
    </w:p>
    <w:tbl>
      <w:tblPr>
        <w:tblW w:type="pct" w:w="100%"/>
        <w:tblBorders>
          <w:top w:val="single" w:color="0F3D3E" w:sz="4"/>
          <w:left w:val="single" w:color="0F3D3E" w:sz="24"/>
          <w:bottom w:val="single" w:color="0F3D3E" w:sz="4"/>
          <w:right w:val="single" w:color="0F3D3E" w:sz="4"/>
          <w:insideH w:val="none" w:color="FFFFFF" w:sz="0"/>
          <w:insideV w:val="none" w:color="FFFFFF" w:sz="0"/>
        </w:tblBorders>
      </w:tblPr>
      <w:tblGrid>
        <w:gridCol w:w="100"/>
      </w:tblGrid>
      <w:tr>
        <w:tc>
          <w:tcPr>
            <w:shd w:fill="E6EEED" w:val="clear"/>
            <w:tcMar>
              <w:top w:type="dxa" w:w="160"/>
              <w:left w:type="dxa" w:w="220"/>
              <w:bottom w:type="dxa" w:w="160"/>
              <w:right w:type="dxa" w:w="220"/>
            </w:tcMar>
          </w:tcPr>
          <w:p>
            <w:pPr>
              <w:spacing w:after="60"/>
            </w:pPr>
            <w:r>
              <w:rPr>
                <w:rFonts w:ascii="Inter" w:cs="Inter" w:eastAsia="Inter" w:hAnsi="Inter"/>
                <w:b/>
                <w:bCs/>
                <w:color w:val="0F3D3E"/>
                <w:sz w:val="20"/>
                <w:szCs w:val="20"/>
              </w:rPr>
              <w:t xml:space="preserve">What CAOS does about it</w:t>
            </w:r>
          </w:p>
          <w:p>
            <w:r>
              <w:rPr>
                <w:rFonts w:ascii="Inter" w:cs="Inter" w:eastAsia="Inter" w:hAnsi="Inter"/>
                <w:color w:val="2A2A2A"/>
                <w:sz w:val="20"/>
                <w:szCs w:val="20"/>
              </w:rPr>
              <w:t xml:space="preserve">CAOS tracks each client's access status and flags it before it's due to lapse — turning what would otherwise be a surprise failure into a routine task on your team's list, the same way a missing document becomes a task rather than something that's quietly forgotten. We're still confirming the exact renewal window in practice and will share the confirmed figure once verified against a live client account.</w:t>
            </w:r>
          </w:p>
        </w:tc>
      </w:tr>
    </w:tbl>
    <w:p>
      <w:pPr>
        <w:spacing w:after="200"/>
      </w:pPr>
    </w:p>
    <w:p>
      <w:pPr>
        <w:spacing w:after="160" w:before="260"/>
      </w:pPr>
      <w:r>
        <w:rPr>
          <w:rFonts w:ascii="Inter" w:cs="Inter" w:eastAsia="Inter" w:hAnsi="Inter"/>
          <w:b/>
          <w:bCs/>
          <w:color w:val="0F3D3E"/>
          <w:sz w:val="24"/>
          <w:szCs w:val="24"/>
        </w:rPr>
        <w:t xml:space="preserve">What's still being finalized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none" w:color="FFFFFF" w:sz="0"/>
              <w:left w:val="none" w:color="FFFFFF" w:sz="0"/>
              <w:bottom w:val="none" w:color="FFFFFF" w:sz="0"/>
              <w:right w:val="none" w:color="FFFFFF" w:sz="0"/>
            </w:tcBorders>
            <w:shd w:fill="E8A33D" w:val="clear"/>
            <w:tcMar>
              <w:top w:type="dxa" w:w="120"/>
              <w:left w:type="dxa" w:w="160"/>
              <w:bottom w:type="dxa" w:w="120"/>
              <w:right w:type="dxa" w:w="120"/>
            </w:tcMar>
          </w:tcPr>
          <w:p>
            <w:r>
              <w:rPr>
                <w:rFonts w:ascii="Inter" w:cs="Inter" w:eastAsia="Inter" w:hAnsi="Inter"/>
                <w:b/>
                <w:bCs/>
                <w:color w:val="FFFFFF"/>
                <w:sz w:val="20"/>
                <w:szCs w:val="20"/>
              </w:rPr>
              <w:t xml:space="preserve">Still being finalized</w:t>
            </w:r>
          </w:p>
        </w:tc>
        <w:tc>
          <w:tcPr>
            <w:tcW w:type="pct" w:w="50%"/>
            <w:tcBorders>
              <w:top w:val="none" w:color="FFFFFF" w:sz="0"/>
              <w:left w:val="none" w:color="FFFFFF" w:sz="0"/>
              <w:bottom w:val="none" w:color="FFFFFF" w:sz="0"/>
              <w:right w:val="none" w:color="FFFFFF" w:sz="0"/>
            </w:tcBorders>
            <w:shd w:fill="E8A33D" w:val="clear"/>
            <w:tcMar>
              <w:top w:type="dxa" w:w="120"/>
              <w:left w:type="dxa" w:w="120"/>
              <w:bottom w:type="dxa" w:w="120"/>
              <w:right w:type="dxa" w:w="160"/>
            </w:tcMar>
          </w:tcPr>
          <w:p>
            <w:r>
              <w:rPr>
                <w:rFonts w:ascii="Inter" w:cs="Inter" w:eastAsia="Inter" w:hAnsi="Inter"/>
                <w:b/>
                <w:bCs/>
                <w:color w:val="FFFFFF"/>
                <w:sz w:val="20"/>
                <w:szCs w:val="20"/>
              </w:rPr>
              <w:t xml:space="preserve">What's involved</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Confirming the renewal window in practice</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The roughly-30-day figure is documented by the government's filing-access provider; we're confirming it holds before relying on it for scheduling client reminders.</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A full, live filing run</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Testing so far has confirmed data retrieval works. A complete filing run for a real client period hasn't been done yet — planned before this goes live for real.</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5. Document Data Extraction</w:t>
      </w:r>
    </w:p>
    <w:p>
      <w:pPr>
        <w:spacing w:after="160" w:line="288"/>
      </w:pPr>
      <w:r>
        <w:rPr>
          <w:rFonts w:ascii="Inter" w:cs="Inter" w:eastAsia="Inter" w:hAnsi="Inter"/>
          <w:b w:val="false"/>
          <w:bCs w:val="false"/>
          <w:i w:val="false"/>
          <w:iCs w:val="false"/>
          <w:color w:val="2A2A2A"/>
          <w:sz w:val="21"/>
          <w:szCs w:val="21"/>
        </w:rPr>
        <w:t xml:space="preserve">Reading amounts, dates, GSTIN, vendor name, and line items off a scanned or photographed invoice, so staff don't have to re-type them.</w:t>
      </w:r>
    </w:p>
    <w:p>
      <w:pPr>
        <w:spacing w:after="160" w:before="260"/>
      </w:pPr>
      <w:r>
        <w:rPr>
          <w:rFonts w:ascii="Inter" w:cs="Inter" w:eastAsia="Inter" w:hAnsi="Inter"/>
          <w:b/>
          <w:bCs/>
          <w:color w:val="0F3D3E"/>
          <w:sz w:val="24"/>
          <w:szCs w:val="24"/>
        </w:rPr>
        <w:t xml:space="preserve">What's confirmed working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none" w:color="FFFFFF" w:sz="0"/>
              <w:left w:val="none" w:color="FFFFFF" w:sz="0"/>
              <w:bottom w:val="none" w:color="FFFFFF" w:sz="0"/>
              <w:right w:val="none" w:color="FFFFFF" w:sz="0"/>
            </w:tcBorders>
            <w:shd w:fill="0F3D3E" w:val="clear"/>
            <w:tcMar>
              <w:top w:type="dxa" w:w="120"/>
              <w:left w:type="dxa" w:w="160"/>
              <w:bottom w:type="dxa" w:w="120"/>
              <w:right w:type="dxa" w:w="120"/>
            </w:tcMar>
          </w:tcPr>
          <w:p>
            <w:r>
              <w:rPr>
                <w:rFonts w:ascii="Inter" w:cs="Inter" w:eastAsia="Inter" w:hAnsi="Inter"/>
                <w:b/>
                <w:bCs/>
                <w:color w:val="FFFFFF"/>
                <w:sz w:val="20"/>
                <w:szCs w:val="20"/>
              </w:rPr>
              <w:t xml:space="preserve">Capability</w:t>
            </w:r>
          </w:p>
        </w:tc>
        <w:tc>
          <w:tcPr>
            <w:tcW w:type="pct" w:w="45%"/>
            <w:tcBorders>
              <w:top w:val="none" w:color="FFFFFF" w:sz="0"/>
              <w:left w:val="none" w:color="FFFFFF" w:sz="0"/>
              <w:bottom w:val="none" w:color="FFFFFF" w:sz="0"/>
              <w:right w:val="none" w:color="FFFFFF" w:sz="0"/>
            </w:tcBorders>
            <w:shd w:fill="0F3D3E" w:val="clear"/>
            <w:tcMar>
              <w:top w:type="dxa" w:w="120"/>
              <w:left w:type="dxa" w:w="120"/>
              <w:bottom w:type="dxa" w:w="120"/>
              <w:right w:type="dxa" w:w="160"/>
            </w:tcMar>
          </w:tcPr>
          <w:p>
            <w:r>
              <w:rPr>
                <w:rFonts w:ascii="Inter" w:cs="Inter" w:eastAsia="Inter" w:hAnsi="Inter"/>
                <w:b/>
                <w:bCs/>
                <w:color w:val="FFFFFF"/>
                <w:sz w:val="20"/>
                <w:szCs w:val="20"/>
              </w:rPr>
              <w:t xml:space="preserve">What this means in practice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The extraction and checking pipeline works correctly</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We deliberately fed it documents with known errors — a wrong digit, a shifted total, a missing line item — and confirmed it catches every one of them correctly, not just the clean cases. A checking process that always says “looks fine” is worse than no check at all, so we tested for that specifically.</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Table and line-item recognition, not just raw text</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CAOS reads the actual structure of an invoice table — line items, quantities, rates — not just the words on the page.</w:t>
            </w:r>
          </w:p>
        </w:tc>
      </w:tr>
    </w:tbl>
    <w:p>
      <w:pPr>
        <w:spacing w:after="200"/>
      </w:pPr>
    </w:p>
    <w:p>
      <w:pPr>
        <w:spacing w:after="160" w:before="260"/>
      </w:pPr>
      <w:r>
        <w:rPr>
          <w:rFonts w:ascii="Inter" w:cs="Inter" w:eastAsia="Inter" w:hAnsi="Inter"/>
          <w:b/>
          <w:bCs/>
          <w:color w:val="0F3D3E"/>
          <w:sz w:val="24"/>
          <w:szCs w:val="24"/>
        </w:rPr>
        <w:t xml:space="preserve">What's still being finalized</w:t>
      </w:r>
    </w:p>
    <w:p>
      <w:pPr>
        <w:spacing w:after="160" w:line="288"/>
      </w:pPr>
      <w:r>
        <w:rPr>
          <w:rFonts w:ascii="Inter" w:cs="Inter" w:eastAsia="Inter" w:hAnsi="Inter"/>
          <w:b w:val="false"/>
          <w:bCs w:val="false"/>
          <w:i w:val="false"/>
          <w:iCs w:val="false"/>
          <w:color w:val="2A2A2A"/>
          <w:sz w:val="21"/>
          <w:szCs w:val="21"/>
        </w:rPr>
        <w:t xml:space="preserve">This is the most important number in this section, and we don't have it yet — on purpose.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none" w:color="FFFFFF" w:sz="0"/>
              <w:left w:val="none" w:color="FFFFFF" w:sz="0"/>
              <w:bottom w:val="none" w:color="FFFFFF" w:sz="0"/>
              <w:right w:val="none" w:color="FFFFFF" w:sz="0"/>
            </w:tcBorders>
            <w:shd w:fill="E8A33D" w:val="clear"/>
            <w:tcMar>
              <w:top w:type="dxa" w:w="120"/>
              <w:left w:type="dxa" w:w="160"/>
              <w:bottom w:type="dxa" w:w="120"/>
              <w:right w:type="dxa" w:w="120"/>
            </w:tcMar>
          </w:tcPr>
          <w:p>
            <w:r>
              <w:rPr>
                <w:rFonts w:ascii="Inter" w:cs="Inter" w:eastAsia="Inter" w:hAnsi="Inter"/>
                <w:b/>
                <w:bCs/>
                <w:color w:val="FFFFFF"/>
                <w:sz w:val="20"/>
                <w:szCs w:val="20"/>
              </w:rPr>
              <w:t xml:space="preserve">Still being finalized</w:t>
            </w:r>
          </w:p>
        </w:tc>
        <w:tc>
          <w:tcPr>
            <w:tcW w:type="pct" w:w="50%"/>
            <w:tcBorders>
              <w:top w:val="none" w:color="FFFFFF" w:sz="0"/>
              <w:left w:val="none" w:color="FFFFFF" w:sz="0"/>
              <w:bottom w:val="none" w:color="FFFFFF" w:sz="0"/>
              <w:right w:val="none" w:color="FFFFFF" w:sz="0"/>
            </w:tcBorders>
            <w:shd w:fill="E8A33D" w:val="clear"/>
            <w:tcMar>
              <w:top w:type="dxa" w:w="120"/>
              <w:left w:type="dxa" w:w="120"/>
              <w:bottom w:type="dxa" w:w="120"/>
              <w:right w:type="dxa" w:w="160"/>
            </w:tcMar>
          </w:tcPr>
          <w:p>
            <w:r>
              <w:rPr>
                <w:rFonts w:ascii="Inter" w:cs="Inter" w:eastAsia="Inter" w:hAnsi="Inter"/>
                <w:b/>
                <w:bCs/>
                <w:color w:val="FFFFFF"/>
                <w:sz w:val="20"/>
                <w:szCs w:val="20"/>
              </w:rPr>
              <w:t xml:space="preserve">What's involved</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Accuracy on a real, varied sample of your invoices</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This needs 20-50 of the practice's own real invoices, across different vendor formats — not documents from anywhere else, since the accuracy that matters is accuracy on your actual documents. Once these are provided, we'll test against them the same way we tested Tally, and report the real number, not an assumed one.</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A layout-specific detail already found</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During setup testing, we found that some heavily-bordered invoice layouts can trip up how the table structure is read, even though every individual number is still extracted correctly. We're addressing this ahead of the real accuracy test.</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6. Shared Email Inbox</w:t>
      </w:r>
    </w:p>
    <w:p>
      <w:pPr>
        <w:spacing w:after="160" w:line="288"/>
      </w:pPr>
      <w:r>
        <w:rPr>
          <w:rFonts w:ascii="Inter" w:cs="Inter" w:eastAsia="Inter" w:hAnsi="Inter"/>
          <w:b w:val="false"/>
          <w:bCs w:val="false"/>
          <w:i w:val="false"/>
          <w:iCs w:val="false"/>
          <w:color w:val="2A2A2A"/>
          <w:sz w:val="21"/>
          <w:szCs w:val="21"/>
        </w:rPr>
        <w:t xml:space="preserve">Client emails and attachments that arrive via the practice's shared inbox need to be picked up and filed automatically, without anyone checking the inbox manually. This is the earliest-stage area in this document — testing is still in progress.</w:t>
      </w:r>
    </w:p>
    <w:p>
      <w:pPr>
        <w:spacing w:after="160" w:before="260"/>
      </w:pPr>
      <w:r>
        <w:rPr>
          <w:rFonts w:ascii="Inter" w:cs="Inter" w:eastAsia="Inter" w:hAnsi="Inter"/>
          <w:b/>
          <w:bCs/>
          <w:color w:val="0F3D3E"/>
          <w:sz w:val="24"/>
          <w:szCs w:val="24"/>
        </w:rPr>
        <w:t xml:space="preserve">What's confirmed working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none" w:color="FFFFFF" w:sz="0"/>
              <w:left w:val="none" w:color="FFFFFF" w:sz="0"/>
              <w:bottom w:val="none" w:color="FFFFFF" w:sz="0"/>
              <w:right w:val="none" w:color="FFFFFF" w:sz="0"/>
            </w:tcBorders>
            <w:shd w:fill="0F3D3E" w:val="clear"/>
            <w:tcMar>
              <w:top w:type="dxa" w:w="120"/>
              <w:left w:type="dxa" w:w="160"/>
              <w:bottom w:type="dxa" w:w="120"/>
              <w:right w:type="dxa" w:w="120"/>
            </w:tcMar>
          </w:tcPr>
          <w:p>
            <w:r>
              <w:rPr>
                <w:rFonts w:ascii="Inter" w:cs="Inter" w:eastAsia="Inter" w:hAnsi="Inter"/>
                <w:b/>
                <w:bCs/>
                <w:color w:val="FFFFFF"/>
                <w:sz w:val="20"/>
                <w:szCs w:val="20"/>
              </w:rPr>
              <w:t xml:space="preserve">Capability</w:t>
            </w:r>
          </w:p>
        </w:tc>
        <w:tc>
          <w:tcPr>
            <w:tcW w:type="pct" w:w="45%"/>
            <w:tcBorders>
              <w:top w:val="none" w:color="FFFFFF" w:sz="0"/>
              <w:left w:val="none" w:color="FFFFFF" w:sz="0"/>
              <w:bottom w:val="none" w:color="FFFFFF" w:sz="0"/>
              <w:right w:val="none" w:color="FFFFFF" w:sz="0"/>
            </w:tcBorders>
            <w:shd w:fill="0F3D3E" w:val="clear"/>
            <w:tcMar>
              <w:top w:type="dxa" w:w="120"/>
              <w:left w:type="dxa" w:w="120"/>
              <w:bottom w:type="dxa" w:w="120"/>
              <w:right w:type="dxa" w:w="160"/>
            </w:tcMar>
          </w:tcPr>
          <w:p>
            <w:r>
              <w:rPr>
                <w:rFonts w:ascii="Inter" w:cs="Inter" w:eastAsia="Inter" w:hAnsi="Inter"/>
                <w:b/>
                <w:bCs/>
                <w:color w:val="FFFFFF"/>
                <w:sz w:val="20"/>
                <w:szCs w:val="20"/>
              </w:rPr>
              <w:t xml:space="preserve">What this means in practice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Reliable connection to the shared inbox</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Tested directly: CAOS connects to and reads a shared mailbox reliably.</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Never marks a message as read on your behalf</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CAOS is specifically built to check messages without marking them as “read” — so what your team sees in the shared inbox stays exactly as a human left it, not altered by CAOS having looked at it.</w:t>
            </w:r>
          </w:p>
        </w:tc>
      </w:tr>
    </w:tbl>
    <w:p>
      <w:pPr>
        <w:spacing w:after="200"/>
      </w:pPr>
    </w:p>
    <w:p>
      <w:pPr>
        <w:spacing w:after="160" w:before="260"/>
      </w:pPr>
      <w:r>
        <w:rPr>
          <w:rFonts w:ascii="Inter" w:cs="Inter" w:eastAsia="Inter" w:hAnsi="Inter"/>
          <w:b/>
          <w:bCs/>
          <w:color w:val="0F3D3E"/>
          <w:sz w:val="24"/>
          <w:szCs w:val="24"/>
        </w:rPr>
        <w:t xml:space="preserve">What's still being finalized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none" w:color="FFFFFF" w:sz="0"/>
              <w:left w:val="none" w:color="FFFFFF" w:sz="0"/>
              <w:bottom w:val="none" w:color="FFFFFF" w:sz="0"/>
              <w:right w:val="none" w:color="FFFFFF" w:sz="0"/>
            </w:tcBorders>
            <w:shd w:fill="E8A33D" w:val="clear"/>
            <w:tcMar>
              <w:top w:type="dxa" w:w="120"/>
              <w:left w:type="dxa" w:w="160"/>
              <w:bottom w:type="dxa" w:w="120"/>
              <w:right w:type="dxa" w:w="120"/>
            </w:tcMar>
          </w:tcPr>
          <w:p>
            <w:r>
              <w:rPr>
                <w:rFonts w:ascii="Inter" w:cs="Inter" w:eastAsia="Inter" w:hAnsi="Inter"/>
                <w:b/>
                <w:bCs/>
                <w:color w:val="FFFFFF"/>
                <w:sz w:val="20"/>
                <w:szCs w:val="20"/>
              </w:rPr>
              <w:t xml:space="preserve">Still being finalized</w:t>
            </w:r>
          </w:p>
        </w:tc>
        <w:tc>
          <w:tcPr>
            <w:tcW w:type="pct" w:w="50%"/>
            <w:tcBorders>
              <w:top w:val="none" w:color="FFFFFF" w:sz="0"/>
              <w:left w:val="none" w:color="FFFFFF" w:sz="0"/>
              <w:bottom w:val="none" w:color="FFFFFF" w:sz="0"/>
              <w:right w:val="none" w:color="FFFFFF" w:sz="0"/>
            </w:tcBorders>
            <w:shd w:fill="E8A33D" w:val="clear"/>
            <w:tcMar>
              <w:top w:type="dxa" w:w="120"/>
              <w:left w:type="dxa" w:w="120"/>
              <w:bottom w:type="dxa" w:w="120"/>
              <w:right w:type="dxa" w:w="160"/>
            </w:tcMar>
          </w:tcPr>
          <w:p>
            <w:r>
              <w:rPr>
                <w:rFonts w:ascii="Inter" w:cs="Inter" w:eastAsia="Inter" w:hAnsi="Inter"/>
                <w:b/>
                <w:bCs/>
                <w:color w:val="FFFFFF"/>
                <w:sz w:val="20"/>
                <w:szCs w:val="20"/>
              </w:rPr>
              <w:t xml:space="preserve">What's involved</w:t>
            </w:r>
          </w:p>
        </w:tc>
      </w:tr>
      <w:tr>
        <w:tc>
          <w:tcPr>
            <w:tcW w:type="pct" w:w="50%"/>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vAlign w:val="center"/>
          </w:tcPr>
          <w:p>
            <w:r>
              <w:rPr>
                <w:rFonts w:ascii="Inter" w:cs="Inter" w:eastAsia="Inter" w:hAnsi="Inter"/>
                <w:b/>
                <w:bCs/>
                <w:color w:val="1A1A1A"/>
                <w:sz w:val="20"/>
                <w:szCs w:val="20"/>
              </w:rPr>
              <w:t xml:space="preserve">Real-world message handling</w:t>
            </w:r>
          </w:p>
        </w:tc>
        <w:tc>
          <w:tcPr>
            <w:tcW w:type="pct" w:w="50%"/>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vAlign w:val="center"/>
          </w:tcPr>
          <w:p>
            <w:r>
              <w:rPr>
                <w:rFonts w:ascii="Inter" w:cs="Inter" w:eastAsia="Inter" w:hAnsi="Inter"/>
                <w:b w:val="false"/>
                <w:bCs w:val="false"/>
                <w:color w:val="2A2A2A"/>
                <w:sz w:val="20"/>
                <w:szCs w:val="20"/>
              </w:rPr>
              <w:t xml:space="preserve">Testing against realistic cases — attachments, a forwarded message, more than one sender — is in progress now. We'll share confirmed results the same way once complete.</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Questions</w:t>
      </w:r>
    </w:p>
    <w:p>
      <w:pPr>
        <w:spacing w:after="160" w:line="288"/>
      </w:pPr>
      <w:r>
        <w:rPr>
          <w:rFonts w:ascii="Inter" w:cs="Inter" w:eastAsia="Inter" w:hAnsi="Inter"/>
          <w:b w:val="false"/>
          <w:bCs w:val="false"/>
          <w:i w:val="false"/>
          <w:iCs w:val="false"/>
          <w:color w:val="2A2A2A"/>
          <w:sz w:val="21"/>
          <w:szCs w:val="21"/>
        </w:rPr>
        <w:t xml:space="preserve">Happy to walk through any of this in more detail, or show the actual testing evidence behind any specific line in this document — every claim here traces back to a real test we ran, not something we're taking on faith about how any of these systems behave.</w:t>
      </w:r>
    </w:p>
    <w:p>
      <w:r>
        <w:rPr>
          <w:rFonts w:ascii="Inter" w:cs="Inter" w:eastAsia="Inter" w:hAnsi="Inter"/>
          <w:color w:val="2A2A2A"/>
          <w:sz w:val="18"/>
          <w:szCs w:val="18"/>
        </w:rPr>
        <w:t xml:space="preserve">Venture Assist / Srivatsan &amp; Associates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2026-09-17T09:58:31.757Z</dcterms:created>
  <dcterms:modified xsi:type="dcterms:W3CDTF">2026-09-17T09:58:31.758Z</dcterms:modified>
</cp:coreProperties>
</file>

<file path=docProps/custom.xml><?xml version="1.0" encoding="utf-8"?>
<Properties xmlns="http://schemas.openxmlformats.org/officeDocument/2006/custom-properties" xmlns:vt="http://schemas.openxmlformats.org/officeDocument/2006/docPropsVTypes"/>
</file>