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8B573" w14:textId="77777777" w:rsidR="005578AA" w:rsidRDefault="005404B5">
      <w:pPr>
        <w:spacing w:after="40"/>
      </w:pPr>
      <w:r>
        <w:rPr>
          <w:b/>
          <w:bCs/>
          <w:color w:val="0F6B5C"/>
          <w:sz w:val="44"/>
          <w:szCs w:val="44"/>
        </w:rPr>
        <w:t>Software Development Proposal</w:t>
      </w:r>
    </w:p>
    <w:p w14:paraId="1B75C144" w14:textId="77777777" w:rsidR="005578AA" w:rsidRDefault="005404B5">
      <w:pPr>
        <w:spacing w:after="200"/>
      </w:pPr>
      <w:r>
        <w:rPr>
          <w:b/>
          <w:bCs/>
          <w:color w:val="B8860B"/>
          <w:sz w:val="26"/>
          <w:szCs w:val="26"/>
        </w:rPr>
        <w:t>CAOS — Multi-Agent Practice Automation Platform</w:t>
      </w:r>
    </w:p>
    <w:p w14:paraId="0F8401EE" w14:textId="77777777" w:rsidR="005578AA" w:rsidRDefault="005404B5">
      <w:pPr>
        <w:spacing w:after="40"/>
      </w:pPr>
      <w:r>
        <w:rPr>
          <w:color w:val="5A6B6E"/>
        </w:rPr>
        <w:t xml:space="preserve">Prepared for: Venture Assist / </w:t>
      </w:r>
      <w:proofErr w:type="spellStart"/>
      <w:r>
        <w:rPr>
          <w:color w:val="5A6B6E"/>
        </w:rPr>
        <w:t>Srivatsan</w:t>
      </w:r>
      <w:proofErr w:type="spellEnd"/>
      <w:r>
        <w:rPr>
          <w:color w:val="5A6B6E"/>
        </w:rPr>
        <w:t xml:space="preserve"> &amp; Associates</w:t>
      </w:r>
    </w:p>
    <w:p w14:paraId="564AD217" w14:textId="77777777" w:rsidR="005578AA" w:rsidRDefault="005404B5">
      <w:pPr>
        <w:spacing w:after="40"/>
      </w:pPr>
      <w:r>
        <w:rPr>
          <w:color w:val="5A6B6E"/>
        </w:rPr>
        <w:t>Build model: AI-Accelerated Engineering (Claude Code, senior-reviewed)</w:t>
      </w:r>
    </w:p>
    <w:p w14:paraId="0F6A92E7" w14:textId="77777777" w:rsidR="005578AA" w:rsidRDefault="005404B5">
      <w:pPr>
        <w:spacing w:after="40"/>
      </w:pPr>
      <w:r>
        <w:rPr>
          <w:color w:val="5A6B6E"/>
        </w:rPr>
        <w:t>Date: September 2026</w:t>
      </w:r>
    </w:p>
    <w:p w14:paraId="06925388" w14:textId="77777777" w:rsidR="005578AA" w:rsidRDefault="005578AA">
      <w:pPr>
        <w:spacing w:after="160"/>
      </w:pPr>
    </w:p>
    <w:p w14:paraId="369B30F2" w14:textId="77777777" w:rsidR="005578AA" w:rsidRDefault="005404B5">
      <w:pPr>
        <w:spacing w:after="320" w:line="300" w:lineRule="auto"/>
      </w:pPr>
      <w:r>
        <w:rPr>
          <w:i/>
          <w:iCs/>
          <w:color w:val="5A6B6E"/>
          <w:sz w:val="21"/>
          <w:szCs w:val="21"/>
        </w:rPr>
        <w:t>This proposal covers the end-to-end development of CAOS, scoped against the agreed Feature Documentation, PRD, ER model, and ADR 0011 (Multi-Backend Bookkeeping Connector). It sets out the solution, the build approach, a realistic phased timeline, and investment required to take the platform from design-complete to production-ready.</w:t>
      </w:r>
    </w:p>
    <w:p w14:paraId="7AB171A7" w14:textId="77777777" w:rsidR="005578AA" w:rsidRDefault="005404B5">
      <w:pPr>
        <w:pStyle w:val="Heading1"/>
        <w:pBdr>
          <w:bottom w:val="single" w:sz="8" w:space="4" w:color="0F6B5C"/>
        </w:pBdr>
        <w:spacing w:before="380" w:after="160"/>
      </w:pPr>
      <w:r>
        <w:rPr>
          <w:b/>
          <w:bCs/>
          <w:color w:val="0F6B5C"/>
          <w:sz w:val="28"/>
          <w:szCs w:val="28"/>
        </w:rPr>
        <w:t>1. Executive Summary</w:t>
      </w:r>
    </w:p>
    <w:p w14:paraId="04620749" w14:textId="77777777" w:rsidR="005578AA" w:rsidRDefault="005404B5">
      <w:pPr>
        <w:spacing w:after="160" w:line="300" w:lineRule="auto"/>
      </w:pPr>
      <w:r>
        <w:rPr>
          <w:color w:val="1F2A2E"/>
          <w:sz w:val="21"/>
          <w:szCs w:val="21"/>
        </w:rPr>
        <w:t xml:space="preserve">CAOS is a multi-agent automation platform for CA practices, covering document intake, GST/TDS reconciliation and compliance, client communication, working papers, and practice management — with full read/write parity across Tally and </w:t>
      </w:r>
      <w:proofErr w:type="spellStart"/>
      <w:r>
        <w:rPr>
          <w:color w:val="1F2A2E"/>
          <w:sz w:val="21"/>
          <w:szCs w:val="21"/>
        </w:rPr>
        <w:t>Zoho</w:t>
      </w:r>
      <w:proofErr w:type="spellEnd"/>
      <w:r>
        <w:rPr>
          <w:color w:val="1F2A2E"/>
          <w:sz w:val="21"/>
          <w:szCs w:val="21"/>
        </w:rPr>
        <w:t xml:space="preserve"> Books.</w:t>
      </w:r>
    </w:p>
    <w:p w14:paraId="3FBE397C" w14:textId="77777777" w:rsidR="005578AA" w:rsidRDefault="005404B5">
      <w:pPr>
        <w:spacing w:after="160" w:line="300" w:lineRule="auto"/>
      </w:pPr>
      <w:r>
        <w:rPr>
          <w:color w:val="1F2A2E"/>
          <w:sz w:val="21"/>
          <w:szCs w:val="21"/>
        </w:rPr>
        <w:t>The platform is design-complete: the Feature Documentation, PRD/Sprint Plan addendum, ER model (23 entities), and connector architecture (ADR 0011) are in place. What remains is implementation.</w:t>
      </w:r>
    </w:p>
    <w:p w14:paraId="7FB02C33" w14:textId="77777777" w:rsidR="005578AA" w:rsidRDefault="005404B5">
      <w:pPr>
        <w:spacing w:after="160" w:line="300" w:lineRule="auto"/>
      </w:pPr>
      <w:r>
        <w:rPr>
          <w:color w:val="1F2A2E"/>
          <w:sz w:val="21"/>
          <w:szCs w:val="21"/>
        </w:rPr>
        <w:t xml:space="preserve">This proposal prices that implementation using an AI-accelerated engineering model — Claude Code as the primary development tool, applied under senior technical and compliance review at every phase gate. On this model, the full 107-feature roadmap is deliverable in approximately 5 months for a fixed price of ₹15,00,000, plus applicable GST.</w:t>
      </w:r>
    </w:p>
    <w:p w14:paraId="249C9EC9" w14:textId="77777777" w:rsidR="005578AA" w:rsidRDefault="005404B5">
      <w:pPr>
        <w:pStyle w:val="Heading1"/>
        <w:pBdr>
          <w:bottom w:val="single" w:sz="8" w:space="4" w:color="0F6B5C"/>
        </w:pBdr>
        <w:spacing w:before="380" w:after="160"/>
      </w:pPr>
      <w:r>
        <w:rPr>
          <w:b/>
          <w:bCs/>
          <w:color w:val="0F6B5C"/>
          <w:sz w:val="28"/>
          <w:szCs w:val="28"/>
        </w:rPr>
        <w:t>2. Background &amp; Objectives</w:t>
      </w:r>
    </w:p>
    <w:p w14:paraId="27843B0B" w14:textId="77777777" w:rsidR="005578AA" w:rsidRDefault="005404B5">
      <w:pPr>
        <w:spacing w:after="160" w:line="300" w:lineRule="auto"/>
      </w:pPr>
      <w:r>
        <w:rPr>
          <w:color w:val="1F2A2E"/>
          <w:sz w:val="21"/>
          <w:szCs w:val="21"/>
        </w:rPr>
        <w:t>Manual GST/TDS compliance work is the single largest constraint on practice growth: reconciliation, document chasing, and filing prep alone consume roughly 10 hours per client per month at a typical mid-size engagement, capping how many clients a fixed team can serve.</w:t>
      </w:r>
    </w:p>
    <w:p w14:paraId="16D9ED6A" w14:textId="77777777" w:rsidR="005578AA" w:rsidRDefault="005404B5">
      <w:pPr>
        <w:spacing w:after="160" w:line="300" w:lineRule="auto"/>
      </w:pPr>
      <w:r>
        <w:rPr>
          <w:color w:val="1F2A2E"/>
          <w:sz w:val="21"/>
          <w:szCs w:val="21"/>
        </w:rPr>
        <w:t xml:space="preserve">A mid-project discovery — that a significant share of the client base runs </w:t>
      </w:r>
      <w:proofErr w:type="spellStart"/>
      <w:r>
        <w:rPr>
          <w:color w:val="1F2A2E"/>
          <w:sz w:val="21"/>
          <w:szCs w:val="21"/>
        </w:rPr>
        <w:t>Zoho</w:t>
      </w:r>
      <w:proofErr w:type="spellEnd"/>
      <w:r>
        <w:rPr>
          <w:color w:val="1F2A2E"/>
          <w:sz w:val="21"/>
          <w:szCs w:val="21"/>
        </w:rPr>
        <w:t xml:space="preserve"> Books alongside or instead of Tally — expanded the platform's scope from single-backend to full dual-backend read/write parity, which is now reflected across the architecture, data model, and feature backlog.</w:t>
      </w:r>
    </w:p>
    <w:p w14:paraId="4175BBDF" w14:textId="77777777" w:rsidR="005578AA" w:rsidRDefault="005404B5">
      <w:pPr>
        <w:pStyle w:val="Heading2"/>
        <w:spacing w:before="260" w:after="100"/>
      </w:pPr>
      <w:r>
        <w:rPr>
          <w:b/>
          <w:bCs/>
          <w:color w:val="1F2A2E"/>
          <w:sz w:val="22"/>
          <w:szCs w:val="22"/>
        </w:rPr>
        <w:t>Objectives</w:t>
      </w:r>
    </w:p>
    <w:p w14:paraId="5CB534F9" w14:textId="77777777" w:rsidR="005578AA" w:rsidRDefault="005404B5">
      <w:pPr>
        <w:pStyle w:val="ListParagraph"/>
        <w:numPr>
          <w:ilvl w:val="0"/>
          <w:numId w:val="1"/>
        </w:numPr>
        <w:spacing w:after="90" w:line="280" w:lineRule="auto"/>
      </w:pPr>
      <w:r>
        <w:rPr>
          <w:color w:val="1F2A2E"/>
          <w:sz w:val="21"/>
          <w:szCs w:val="21"/>
        </w:rPr>
        <w:t>Automate the highest-time-cost workflows (reconciliation, intake, TDS, bank reconciliation) while keeping every judgment call — mismatches, exceptions, client-facing tone — in front of the auditor or staff member responsible for it</w:t>
      </w:r>
    </w:p>
    <w:p w14:paraId="2EBE21EE" w14:textId="77777777" w:rsidR="005578AA" w:rsidRDefault="005404B5">
      <w:pPr>
        <w:pStyle w:val="ListParagraph"/>
        <w:numPr>
          <w:ilvl w:val="0"/>
          <w:numId w:val="1"/>
        </w:numPr>
        <w:spacing w:after="90" w:line="280" w:lineRule="auto"/>
      </w:pPr>
      <w:r>
        <w:rPr>
          <w:color w:val="1F2A2E"/>
          <w:sz w:val="21"/>
          <w:szCs w:val="21"/>
        </w:rPr>
        <w:t xml:space="preserve">Support Tally and </w:t>
      </w:r>
      <w:proofErr w:type="spellStart"/>
      <w:r>
        <w:rPr>
          <w:color w:val="1F2A2E"/>
          <w:sz w:val="21"/>
          <w:szCs w:val="21"/>
        </w:rPr>
        <w:t>Zoho</w:t>
      </w:r>
      <w:proofErr w:type="spellEnd"/>
      <w:r>
        <w:rPr>
          <w:color w:val="1F2A2E"/>
          <w:sz w:val="21"/>
          <w:szCs w:val="21"/>
        </w:rPr>
        <w:t xml:space="preserve"> Books clients on one platform, without a second product or a degraded experience for either backend</w:t>
      </w:r>
    </w:p>
    <w:p w14:paraId="4F286966" w14:textId="77777777" w:rsidR="005578AA" w:rsidRDefault="005404B5">
      <w:pPr>
        <w:pStyle w:val="ListParagraph"/>
        <w:numPr>
          <w:ilvl w:val="0"/>
          <w:numId w:val="1"/>
        </w:numPr>
        <w:spacing w:after="90" w:line="280" w:lineRule="auto"/>
      </w:pPr>
      <w:r>
        <w:rPr>
          <w:color w:val="1F2A2E"/>
          <w:sz w:val="21"/>
          <w:szCs w:val="21"/>
        </w:rPr>
        <w:t>Give the practice visibility into its own capacity, so automation gains translate into more clients served, not just faster busywork</w:t>
      </w:r>
    </w:p>
    <w:p w14:paraId="5C6041E6" w14:textId="77777777" w:rsidR="005578AA" w:rsidRDefault="005404B5">
      <w:pPr>
        <w:pStyle w:val="Heading1"/>
        <w:pBdr>
          <w:bottom w:val="single" w:sz="8" w:space="4" w:color="0F6B5C"/>
        </w:pBdr>
        <w:spacing w:before="380" w:after="160"/>
      </w:pPr>
      <w:r>
        <w:rPr>
          <w:b/>
          <w:bCs/>
          <w:color w:val="0F6B5C"/>
          <w:sz w:val="28"/>
          <w:szCs w:val="28"/>
        </w:rPr>
        <w:t>3. Proposed Solution: The CAOS Platform</w:t>
      </w:r>
    </w:p>
    <w:p w14:paraId="73CCF835" w14:textId="77777777" w:rsidR="005578AA" w:rsidRDefault="005404B5">
      <w:pPr>
        <w:pStyle w:val="Heading2"/>
        <w:spacing w:before="260" w:after="100"/>
      </w:pPr>
      <w:r>
        <w:rPr>
          <w:b/>
          <w:bCs/>
          <w:color w:val="1F2A2E"/>
          <w:sz w:val="22"/>
          <w:szCs w:val="22"/>
        </w:rPr>
        <w:t>Platform core</w:t>
      </w:r>
    </w:p>
    <w:p w14:paraId="195AF96D" w14:textId="77777777" w:rsidR="005578AA" w:rsidRDefault="005404B5">
      <w:pPr>
        <w:pStyle w:val="ListParagraph"/>
        <w:numPr>
          <w:ilvl w:val="0"/>
          <w:numId w:val="1"/>
        </w:numPr>
        <w:spacing w:after="90" w:line="280" w:lineRule="auto"/>
      </w:pPr>
      <w:r>
        <w:rPr>
          <w:color w:val="1F2A2E"/>
          <w:sz w:val="21"/>
          <w:szCs w:val="21"/>
        </w:rPr>
        <w:t>Task engine and dashboard — the shared system every agent and every staff member works from</w:t>
      </w:r>
    </w:p>
    <w:p w14:paraId="521F7AED" w14:textId="77777777" w:rsidR="005578AA" w:rsidRDefault="005404B5">
      <w:pPr>
        <w:pStyle w:val="ListParagraph"/>
        <w:numPr>
          <w:ilvl w:val="0"/>
          <w:numId w:val="1"/>
        </w:numPr>
        <w:spacing w:after="90" w:line="280" w:lineRule="auto"/>
      </w:pPr>
      <w:proofErr w:type="spellStart"/>
      <w:r>
        <w:rPr>
          <w:color w:val="1F2A2E"/>
          <w:sz w:val="21"/>
          <w:szCs w:val="21"/>
        </w:rPr>
        <w:t>BooksConnector</w:t>
      </w:r>
      <w:proofErr w:type="spellEnd"/>
      <w:r>
        <w:rPr>
          <w:color w:val="1F2A2E"/>
          <w:sz w:val="21"/>
          <w:szCs w:val="21"/>
        </w:rPr>
        <w:t xml:space="preserve"> interface with a </w:t>
      </w:r>
      <w:proofErr w:type="spellStart"/>
      <w:r>
        <w:rPr>
          <w:color w:val="1F2A2E"/>
          <w:sz w:val="21"/>
          <w:szCs w:val="21"/>
        </w:rPr>
        <w:t>TallyAdapter</w:t>
      </w:r>
      <w:proofErr w:type="spellEnd"/>
      <w:r>
        <w:rPr>
          <w:color w:val="1F2A2E"/>
          <w:sz w:val="21"/>
          <w:szCs w:val="21"/>
        </w:rPr>
        <w:t xml:space="preserve"> and a </w:t>
      </w:r>
      <w:proofErr w:type="spellStart"/>
      <w:r>
        <w:rPr>
          <w:color w:val="1F2A2E"/>
          <w:sz w:val="21"/>
          <w:szCs w:val="21"/>
        </w:rPr>
        <w:t>ZohoAdapter</w:t>
      </w:r>
      <w:proofErr w:type="spellEnd"/>
      <w:r>
        <w:rPr>
          <w:color w:val="1F2A2E"/>
          <w:sz w:val="21"/>
          <w:szCs w:val="21"/>
        </w:rPr>
        <w:t>, so agents read/write against either backend through one contract (ADR 0011)</w:t>
      </w:r>
    </w:p>
    <w:p w14:paraId="1CBBB602" w14:textId="77777777" w:rsidR="005578AA" w:rsidRDefault="005404B5">
      <w:pPr>
        <w:pStyle w:val="ListParagraph"/>
        <w:numPr>
          <w:ilvl w:val="0"/>
          <w:numId w:val="1"/>
        </w:numPr>
        <w:spacing w:after="90" w:line="280" w:lineRule="auto"/>
      </w:pPr>
      <w:r>
        <w:rPr>
          <w:color w:val="1F2A2E"/>
          <w:sz w:val="21"/>
          <w:szCs w:val="21"/>
        </w:rPr>
        <w:t>Design B ("Capacity") UI system in teal/amber, applied consistently across all client- and staff-facing surfaces</w:t>
      </w:r>
    </w:p>
    <w:p w14:paraId="68423162" w14:textId="77777777" w:rsidR="005578AA" w:rsidRDefault="005404B5">
      <w:pPr>
        <w:pStyle w:val="Heading2"/>
        <w:spacing w:before="260" w:after="100"/>
      </w:pPr>
      <w:r>
        <w:rPr>
          <w:b/>
          <w:bCs/>
          <w:color w:val="1F2A2E"/>
          <w:sz w:val="22"/>
          <w:szCs w:val="22"/>
        </w:rPr>
        <w:t>Agent suite (in scope for this proposal)</w:t>
      </w:r>
    </w:p>
    <w:p w14:paraId="4E6D6174" w14:textId="77777777" w:rsidR="005578AA" w:rsidRDefault="005404B5">
      <w:pPr>
        <w:pStyle w:val="ListParagraph"/>
        <w:numPr>
          <w:ilvl w:val="0"/>
          <w:numId w:val="1"/>
        </w:numPr>
        <w:spacing w:after="90" w:line="280" w:lineRule="auto"/>
      </w:pPr>
      <w:r>
        <w:rPr>
          <w:color w:val="1F2A2E"/>
          <w:sz w:val="21"/>
          <w:szCs w:val="21"/>
        </w:rPr>
        <w:t>Document Intake Agent — classification, OCR extraction, auto-filing, pending-document reminders</w:t>
      </w:r>
    </w:p>
    <w:p w14:paraId="55408BB6" w14:textId="77777777" w:rsidR="005578AA" w:rsidRDefault="005404B5">
      <w:pPr>
        <w:pStyle w:val="ListParagraph"/>
        <w:numPr>
          <w:ilvl w:val="0"/>
          <w:numId w:val="1"/>
        </w:numPr>
        <w:spacing w:after="90" w:line="280" w:lineRule="auto"/>
      </w:pPr>
      <w:r>
        <w:rPr>
          <w:color w:val="1F2A2E"/>
          <w:sz w:val="21"/>
          <w:szCs w:val="21"/>
        </w:rPr>
        <w:t>Reconciliation Agent — GSTR-2A/2B vs purchase register matching, exception routing</w:t>
      </w:r>
    </w:p>
    <w:p w14:paraId="283CA687" w14:textId="77777777" w:rsidR="005578AA" w:rsidRDefault="005404B5">
      <w:pPr>
        <w:pStyle w:val="ListParagraph"/>
        <w:numPr>
          <w:ilvl w:val="0"/>
          <w:numId w:val="1"/>
        </w:numPr>
        <w:spacing w:after="90" w:line="280" w:lineRule="auto"/>
      </w:pPr>
      <w:r>
        <w:rPr>
          <w:color w:val="1F2A2E"/>
          <w:sz w:val="21"/>
          <w:szCs w:val="21"/>
        </w:rPr>
        <w:t>Validation/Compliance Agent — pre-filing checks across GSTR-1/3B, HSN codes, tax rates, TDS</w:t>
      </w:r>
    </w:p>
    <w:p w14:paraId="39CD419D" w14:textId="77777777" w:rsidR="005578AA" w:rsidRDefault="005404B5">
      <w:pPr>
        <w:pStyle w:val="ListParagraph"/>
        <w:numPr>
          <w:ilvl w:val="0"/>
          <w:numId w:val="1"/>
        </w:numPr>
        <w:spacing w:after="90" w:line="280" w:lineRule="auto"/>
      </w:pPr>
      <w:r>
        <w:rPr>
          <w:color w:val="1F2A2E"/>
          <w:sz w:val="21"/>
          <w:szCs w:val="21"/>
        </w:rPr>
        <w:t xml:space="preserve">Client Communication Agent — </w:t>
      </w:r>
      <w:proofErr w:type="spellStart"/>
      <w:r>
        <w:rPr>
          <w:color w:val="1F2A2E"/>
          <w:sz w:val="21"/>
          <w:szCs w:val="21"/>
        </w:rPr>
        <w:t>templated</w:t>
      </w:r>
      <w:proofErr w:type="spellEnd"/>
      <w:r>
        <w:rPr>
          <w:color w:val="1F2A2E"/>
          <w:sz w:val="21"/>
          <w:szCs w:val="21"/>
        </w:rPr>
        <w:t xml:space="preserve"> reminders, judgment-gated query drafting</w:t>
      </w:r>
    </w:p>
    <w:p w14:paraId="125B0332" w14:textId="77777777" w:rsidR="005578AA" w:rsidRDefault="005404B5">
      <w:pPr>
        <w:pStyle w:val="ListParagraph"/>
        <w:numPr>
          <w:ilvl w:val="0"/>
          <w:numId w:val="1"/>
        </w:numPr>
        <w:spacing w:after="90" w:line="280" w:lineRule="auto"/>
      </w:pPr>
      <w:r>
        <w:rPr>
          <w:color w:val="1F2A2E"/>
          <w:sz w:val="21"/>
          <w:szCs w:val="21"/>
        </w:rPr>
        <w:t xml:space="preserve">Bookkeeping/Voucher Entry Agent — automated entry from client source documents into Tally or </w:t>
      </w:r>
      <w:proofErr w:type="spellStart"/>
      <w:r>
        <w:rPr>
          <w:color w:val="1F2A2E"/>
          <w:sz w:val="21"/>
          <w:szCs w:val="21"/>
        </w:rPr>
        <w:t>Zoho</w:t>
      </w:r>
      <w:proofErr w:type="spellEnd"/>
      <w:r>
        <w:rPr>
          <w:color w:val="1F2A2E"/>
          <w:sz w:val="21"/>
          <w:szCs w:val="21"/>
        </w:rPr>
        <w:t xml:space="preserve"> Books</w:t>
      </w:r>
    </w:p>
    <w:p w14:paraId="489662DD" w14:textId="77777777" w:rsidR="005578AA" w:rsidRDefault="005404B5">
      <w:pPr>
        <w:pStyle w:val="ListParagraph"/>
        <w:numPr>
          <w:ilvl w:val="0"/>
          <w:numId w:val="1"/>
        </w:numPr>
        <w:spacing w:after="90" w:line="280" w:lineRule="auto"/>
      </w:pPr>
      <w:r>
        <w:rPr>
          <w:color w:val="1F2A2E"/>
          <w:sz w:val="21"/>
          <w:szCs w:val="21"/>
        </w:rPr>
        <w:t>TDS/TCS Return Automation — 24Q/26Q/27EQ matching and quarterly return prep</w:t>
      </w:r>
    </w:p>
    <w:p w14:paraId="4C5B9FFC" w14:textId="77777777" w:rsidR="005578AA" w:rsidRDefault="005404B5">
      <w:pPr>
        <w:pStyle w:val="ListParagraph"/>
        <w:numPr>
          <w:ilvl w:val="0"/>
          <w:numId w:val="1"/>
        </w:numPr>
        <w:spacing w:after="90" w:line="280" w:lineRule="auto"/>
      </w:pPr>
      <w:r>
        <w:rPr>
          <w:color w:val="1F2A2E"/>
          <w:sz w:val="21"/>
          <w:szCs w:val="21"/>
        </w:rPr>
        <w:t>Bank Reconciliation Agent — statement-to-books auto-matching with exception review</w:t>
      </w:r>
    </w:p>
    <w:p w14:paraId="72156F5E" w14:textId="77777777" w:rsidR="005578AA" w:rsidRDefault="005404B5">
      <w:pPr>
        <w:pStyle w:val="ListParagraph"/>
        <w:numPr>
          <w:ilvl w:val="0"/>
          <w:numId w:val="1"/>
        </w:numPr>
        <w:spacing w:after="90" w:line="280" w:lineRule="auto"/>
      </w:pPr>
      <w:r>
        <w:rPr>
          <w:color w:val="1F2A2E"/>
          <w:sz w:val="21"/>
          <w:szCs w:val="21"/>
        </w:rPr>
        <w:t>Working Paper Agent — auto-populated engagement documentation</w:t>
      </w:r>
    </w:p>
    <w:p w14:paraId="3B5E6DC6" w14:textId="77777777" w:rsidR="005578AA" w:rsidRDefault="005404B5">
      <w:pPr>
        <w:pStyle w:val="ListParagraph"/>
        <w:numPr>
          <w:ilvl w:val="0"/>
          <w:numId w:val="1"/>
        </w:numPr>
        <w:spacing w:after="90" w:line="280" w:lineRule="auto"/>
      </w:pPr>
      <w:r>
        <w:rPr>
          <w:color w:val="1F2A2E"/>
          <w:sz w:val="21"/>
          <w:szCs w:val="21"/>
        </w:rPr>
        <w:t>Practice Management Agent — capacity, workload, and billing visibility across the firm</w:t>
      </w:r>
    </w:p>
    <w:p w14:paraId="30A60BBD" w14:textId="77777777" w:rsidR="005578AA" w:rsidRDefault="005404B5">
      <w:pPr>
        <w:spacing w:after="160" w:line="300" w:lineRule="auto"/>
      </w:pPr>
      <w:r>
        <w:rPr>
          <w:color w:val="1F2A2E"/>
          <w:sz w:val="21"/>
          <w:szCs w:val="21"/>
        </w:rPr>
        <w:t>The Notice/Scrutiny Tracker Agent and the Phase-2 value-adds (Financial Statement Analysis, ROC Tracker, Fixed Asset Register, Audit Sampling, Knowledge Base Assistant) are addressed under Out of Scope.</w:t>
      </w:r>
    </w:p>
    <w:p w14:paraId="6D1D1E16" w14:textId="77777777" w:rsidR="005578AA" w:rsidRDefault="005404B5">
      <w:r>
        <w:br w:type="page"/>
      </w:r>
    </w:p>
    <w:p w14:paraId="11181653" w14:textId="77777777" w:rsidR="005578AA" w:rsidRDefault="005404B5">
      <w:pPr>
        <w:pStyle w:val="Heading1"/>
        <w:pBdr>
          <w:bottom w:val="single" w:sz="8" w:space="4" w:color="0F6B5C"/>
        </w:pBdr>
        <w:spacing w:before="380" w:after="160"/>
      </w:pPr>
      <w:r>
        <w:rPr>
          <w:b/>
          <w:bCs/>
          <w:color w:val="0F6B5C"/>
          <w:sz w:val="28"/>
          <w:szCs w:val="28"/>
        </w:rPr>
        <w:t>4. Scope of Work</w:t>
      </w:r>
    </w:p>
    <w:p w14:paraId="641D2A05" w14:textId="77777777" w:rsidR="005578AA" w:rsidRDefault="005404B5">
      <w:pPr>
        <w:spacing w:after="160" w:line="300" w:lineRule="auto"/>
      </w:pPr>
      <w:r>
        <w:rPr>
          <w:color w:val="1F2A2E"/>
          <w:sz w:val="21"/>
          <w:szCs w:val="21"/>
        </w:rPr>
        <w:t xml:space="preserve">Scope is drawn directly from the agreed feature backlog: 107 features, </w:t>
      </w:r>
      <w:proofErr w:type="spellStart"/>
      <w:r>
        <w:rPr>
          <w:color w:val="1F2A2E"/>
          <w:sz w:val="21"/>
          <w:szCs w:val="21"/>
        </w:rPr>
        <w:t>MoSCoW</w:t>
      </w:r>
      <w:proofErr w:type="spellEnd"/>
      <w:r>
        <w:rPr>
          <w:color w:val="1F2A2E"/>
          <w:sz w:val="21"/>
          <w:szCs w:val="21"/>
        </w:rPr>
        <w:t>-prioritized across Phase 0–4, built on a 23-entity data model spanning the Core Platform and Compliance/Billing domains.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50"/>
      </w:tblGrid>
      <w:tr w:rsidR="005578AA" w14:paraId="421AC274" w14:textId="77777777">
        <w:tblPrEx>
          <w:tblCellMar>
            <w:top w:w="0" w:type="dxa"/>
            <w:bottom w:w="0" w:type="dxa"/>
          </w:tblCellMar>
        </w:tblPrEx>
        <w:trPr>
          <w:cantSplit/>
          <w:tblHeader/>
        </w:trPr>
        <w:tc>
          <w:tcPr>
            <w:tcW w:w="2100" w:type="dxa"/>
            <w:shd w:val="clear" w:color="auto" w:fill="0F6B5C"/>
            <w:tcMar>
              <w:top w:w="120" w:type="dxa"/>
              <w:left w:w="140" w:type="dxa"/>
              <w:bottom w:w="120" w:type="dxa"/>
              <w:right w:w="140" w:type="dxa"/>
            </w:tcMar>
            <w:vAlign w:val="center"/>
          </w:tcPr>
          <w:p w14:paraId="4DE1E0AD" w14:textId="77777777" w:rsidR="005578AA" w:rsidRDefault="005404B5">
            <w:r>
              <w:rPr>
                <w:b/>
                <w:bCs/>
                <w:color w:val="FFFFFF"/>
                <w:sz w:val="19"/>
                <w:szCs w:val="19"/>
              </w:rPr>
              <w:t>Phase</w:t>
            </w:r>
          </w:p>
        </w:tc>
        <w:tc>
          <w:tcPr>
            <w:tcW w:w="7250" w:type="dxa"/>
            <w:shd w:val="clear" w:color="auto" w:fill="0F6B5C"/>
            <w:tcMar>
              <w:top w:w="120" w:type="dxa"/>
              <w:left w:w="140" w:type="dxa"/>
              <w:bottom w:w="120" w:type="dxa"/>
              <w:right w:w="140" w:type="dxa"/>
            </w:tcMar>
            <w:vAlign w:val="center"/>
          </w:tcPr>
          <w:p w14:paraId="6D752509" w14:textId="77777777" w:rsidR="005578AA" w:rsidRDefault="005404B5">
            <w:pPr>
              <w:jc w:val="center"/>
            </w:pPr>
            <w:r>
              <w:rPr>
                <w:b/>
                <w:bCs/>
                <w:color w:val="FFFFFF"/>
                <w:sz w:val="19"/>
                <w:szCs w:val="19"/>
              </w:rPr>
              <w:t>Modules Delivered</w:t>
            </w:r>
          </w:p>
        </w:tc>
      </w:tr>
      <w:tr w:rsidR="005578AA" w14:paraId="3BB73245" w14:textId="77777777">
        <w:tblPrEx>
          <w:tblCellMar>
            <w:top w:w="0" w:type="dxa"/>
            <w:bottom w:w="0" w:type="dxa"/>
          </w:tblCellMar>
        </w:tblPrEx>
        <w:trPr>
          <w:cantSplit/>
        </w:trPr>
        <w:tc>
          <w:tcPr>
            <w:tcW w:w="2100" w:type="dxa"/>
            <w:tcMar>
              <w:top w:w="120" w:type="dxa"/>
              <w:left w:w="140" w:type="dxa"/>
              <w:bottom w:w="120" w:type="dxa"/>
              <w:right w:w="140" w:type="dxa"/>
            </w:tcMar>
            <w:vAlign w:val="center"/>
          </w:tcPr>
          <w:p w14:paraId="17A2C378" w14:textId="77777777" w:rsidR="005578AA" w:rsidRDefault="005404B5">
            <w:r>
              <w:rPr>
                <w:color w:val="1F2A2E"/>
                <w:sz w:val="19"/>
                <w:szCs w:val="19"/>
              </w:rPr>
              <w:t>Phase 0</w:t>
            </w:r>
          </w:p>
        </w:tc>
        <w:tc>
          <w:tcPr>
            <w:tcW w:w="7250" w:type="dxa"/>
            <w:tcMar>
              <w:top w:w="120" w:type="dxa"/>
              <w:left w:w="140" w:type="dxa"/>
              <w:bottom w:w="120" w:type="dxa"/>
              <w:right w:w="140" w:type="dxa"/>
            </w:tcMar>
            <w:vAlign w:val="center"/>
          </w:tcPr>
          <w:p w14:paraId="5A319893" w14:textId="77777777" w:rsidR="005578AA" w:rsidRDefault="005404B5">
            <w:pPr>
              <w:jc w:val="center"/>
            </w:pPr>
            <w:r>
              <w:rPr>
                <w:color w:val="1F2A2E"/>
                <w:sz w:val="19"/>
                <w:szCs w:val="19"/>
              </w:rPr>
              <w:t>Development readiness: architecture, environment, and standards gap closure</w:t>
            </w:r>
          </w:p>
        </w:tc>
      </w:tr>
      <w:tr w:rsidR="005578AA" w14:paraId="1023CD9D" w14:textId="77777777">
        <w:tblPrEx>
          <w:tblCellMar>
            <w:top w:w="0" w:type="dxa"/>
            <w:bottom w:w="0" w:type="dxa"/>
          </w:tblCellMar>
        </w:tblPrEx>
        <w:trPr>
          <w:cantSplit/>
        </w:trPr>
        <w:tc>
          <w:tcPr>
            <w:tcW w:w="2100" w:type="dxa"/>
            <w:shd w:val="clear" w:color="auto" w:fill="E4F1EE"/>
            <w:tcMar>
              <w:top w:w="120" w:type="dxa"/>
              <w:left w:w="140" w:type="dxa"/>
              <w:bottom w:w="120" w:type="dxa"/>
              <w:right w:w="140" w:type="dxa"/>
            </w:tcMar>
            <w:vAlign w:val="center"/>
          </w:tcPr>
          <w:p w14:paraId="7E1045FF" w14:textId="77777777" w:rsidR="005578AA" w:rsidRDefault="005404B5">
            <w:r>
              <w:rPr>
                <w:color w:val="1F2A2E"/>
                <w:sz w:val="19"/>
                <w:szCs w:val="19"/>
              </w:rPr>
              <w:t>Phase 1</w:t>
            </w:r>
          </w:p>
        </w:tc>
        <w:tc>
          <w:tcPr>
            <w:tcW w:w="7250" w:type="dxa"/>
            <w:shd w:val="clear" w:color="auto" w:fill="E4F1EE"/>
            <w:tcMar>
              <w:top w:w="120" w:type="dxa"/>
              <w:left w:w="140" w:type="dxa"/>
              <w:bottom w:w="120" w:type="dxa"/>
              <w:right w:w="140" w:type="dxa"/>
            </w:tcMar>
            <w:vAlign w:val="center"/>
          </w:tcPr>
          <w:p w14:paraId="515A4C09" w14:textId="77777777" w:rsidR="005578AA" w:rsidRDefault="005404B5">
            <w:pPr>
              <w:jc w:val="center"/>
            </w:pPr>
            <w:r>
              <w:rPr>
                <w:color w:val="1F2A2E"/>
                <w:sz w:val="19"/>
                <w:szCs w:val="19"/>
              </w:rPr>
              <w:t xml:space="preserve">Task engine, dashboard, </w:t>
            </w:r>
            <w:proofErr w:type="spellStart"/>
            <w:r>
              <w:rPr>
                <w:color w:val="1F2A2E"/>
                <w:sz w:val="19"/>
                <w:szCs w:val="19"/>
              </w:rPr>
              <w:t>BooksConnector</w:t>
            </w:r>
            <w:proofErr w:type="spellEnd"/>
            <w:r>
              <w:rPr>
                <w:color w:val="1F2A2E"/>
                <w:sz w:val="19"/>
                <w:szCs w:val="19"/>
              </w:rPr>
              <w:t xml:space="preserve"> (Tally + </w:t>
            </w:r>
            <w:proofErr w:type="spellStart"/>
            <w:r>
              <w:rPr>
                <w:color w:val="1F2A2E"/>
                <w:sz w:val="19"/>
                <w:szCs w:val="19"/>
              </w:rPr>
              <w:t>Zoho</w:t>
            </w:r>
            <w:proofErr w:type="spellEnd"/>
            <w:r>
              <w:rPr>
                <w:color w:val="1F2A2E"/>
                <w:sz w:val="19"/>
                <w:szCs w:val="19"/>
              </w:rPr>
              <w:t xml:space="preserve"> adapters), Document Intake Agent</w:t>
            </w:r>
          </w:p>
        </w:tc>
      </w:tr>
      <w:tr w:rsidR="005578AA" w14:paraId="62CBE317" w14:textId="77777777">
        <w:tblPrEx>
          <w:tblCellMar>
            <w:top w:w="0" w:type="dxa"/>
            <w:bottom w:w="0" w:type="dxa"/>
          </w:tblCellMar>
        </w:tblPrEx>
        <w:trPr>
          <w:cantSplit/>
        </w:trPr>
        <w:tc>
          <w:tcPr>
            <w:tcW w:w="2100" w:type="dxa"/>
            <w:tcMar>
              <w:top w:w="120" w:type="dxa"/>
              <w:left w:w="140" w:type="dxa"/>
              <w:bottom w:w="120" w:type="dxa"/>
              <w:right w:w="140" w:type="dxa"/>
            </w:tcMar>
            <w:vAlign w:val="center"/>
          </w:tcPr>
          <w:p w14:paraId="4893B96E" w14:textId="77777777" w:rsidR="005578AA" w:rsidRDefault="005404B5">
            <w:r>
              <w:rPr>
                <w:color w:val="1F2A2E"/>
                <w:sz w:val="19"/>
                <w:szCs w:val="19"/>
              </w:rPr>
              <w:t>Phase 2</w:t>
            </w:r>
          </w:p>
        </w:tc>
        <w:tc>
          <w:tcPr>
            <w:tcW w:w="7250" w:type="dxa"/>
            <w:tcMar>
              <w:top w:w="120" w:type="dxa"/>
              <w:left w:w="140" w:type="dxa"/>
              <w:bottom w:w="120" w:type="dxa"/>
              <w:right w:w="140" w:type="dxa"/>
            </w:tcMar>
            <w:vAlign w:val="center"/>
          </w:tcPr>
          <w:p w14:paraId="663D900B" w14:textId="77777777" w:rsidR="005578AA" w:rsidRDefault="005404B5">
            <w:pPr>
              <w:jc w:val="center"/>
            </w:pPr>
            <w:r>
              <w:rPr>
                <w:color w:val="1F2A2E"/>
                <w:sz w:val="19"/>
                <w:szCs w:val="19"/>
              </w:rPr>
              <w:t>Bookkeeping/Voucher Entry Agent, Client Communication Agent</w:t>
            </w:r>
          </w:p>
        </w:tc>
      </w:tr>
      <w:tr w:rsidR="005578AA" w14:paraId="2385FEE5" w14:textId="77777777">
        <w:tblPrEx>
          <w:tblCellMar>
            <w:top w:w="0" w:type="dxa"/>
            <w:bottom w:w="0" w:type="dxa"/>
          </w:tblCellMar>
        </w:tblPrEx>
        <w:trPr>
          <w:cantSplit/>
        </w:trPr>
        <w:tc>
          <w:tcPr>
            <w:tcW w:w="2100" w:type="dxa"/>
            <w:shd w:val="clear" w:color="auto" w:fill="E4F1EE"/>
            <w:tcMar>
              <w:top w:w="120" w:type="dxa"/>
              <w:left w:w="140" w:type="dxa"/>
              <w:bottom w:w="120" w:type="dxa"/>
              <w:right w:w="140" w:type="dxa"/>
            </w:tcMar>
            <w:vAlign w:val="center"/>
          </w:tcPr>
          <w:p w14:paraId="42D3D52D" w14:textId="77777777" w:rsidR="005578AA" w:rsidRDefault="005404B5">
            <w:r>
              <w:rPr>
                <w:color w:val="1F2A2E"/>
                <w:sz w:val="19"/>
                <w:szCs w:val="19"/>
              </w:rPr>
              <w:t>Phase 3</w:t>
            </w:r>
          </w:p>
        </w:tc>
        <w:tc>
          <w:tcPr>
            <w:tcW w:w="7250" w:type="dxa"/>
            <w:shd w:val="clear" w:color="auto" w:fill="E4F1EE"/>
            <w:tcMar>
              <w:top w:w="120" w:type="dxa"/>
              <w:left w:w="140" w:type="dxa"/>
              <w:bottom w:w="120" w:type="dxa"/>
              <w:right w:w="140" w:type="dxa"/>
            </w:tcMar>
            <w:vAlign w:val="center"/>
          </w:tcPr>
          <w:p w14:paraId="53A607CC" w14:textId="77777777" w:rsidR="005578AA" w:rsidRDefault="005404B5">
            <w:pPr>
              <w:jc w:val="center"/>
            </w:pPr>
            <w:r>
              <w:rPr>
                <w:color w:val="1F2A2E"/>
                <w:sz w:val="19"/>
                <w:szCs w:val="19"/>
              </w:rPr>
              <w:t>Reconciliation Agent, Validation/Compliance Agent, TDS/TCS Return Automation</w:t>
            </w:r>
          </w:p>
        </w:tc>
      </w:tr>
      <w:tr w:rsidR="005578AA" w14:paraId="7C9B1BD6" w14:textId="77777777">
        <w:tblPrEx>
          <w:tblCellMar>
            <w:top w:w="0" w:type="dxa"/>
            <w:bottom w:w="0" w:type="dxa"/>
          </w:tblCellMar>
        </w:tblPrEx>
        <w:trPr>
          <w:cantSplit/>
        </w:trPr>
        <w:tc>
          <w:tcPr>
            <w:tcW w:w="2100" w:type="dxa"/>
            <w:tcMar>
              <w:top w:w="120" w:type="dxa"/>
              <w:left w:w="140" w:type="dxa"/>
              <w:bottom w:w="120" w:type="dxa"/>
              <w:right w:w="140" w:type="dxa"/>
            </w:tcMar>
            <w:vAlign w:val="center"/>
          </w:tcPr>
          <w:p w14:paraId="66904C3D" w14:textId="77777777" w:rsidR="005578AA" w:rsidRDefault="005404B5">
            <w:r>
              <w:rPr>
                <w:color w:val="1F2A2E"/>
                <w:sz w:val="19"/>
                <w:szCs w:val="19"/>
              </w:rPr>
              <w:t>Phase 4</w:t>
            </w:r>
          </w:p>
        </w:tc>
        <w:tc>
          <w:tcPr>
            <w:tcW w:w="7250" w:type="dxa"/>
            <w:tcMar>
              <w:top w:w="120" w:type="dxa"/>
              <w:left w:w="140" w:type="dxa"/>
              <w:bottom w:w="120" w:type="dxa"/>
              <w:right w:w="140" w:type="dxa"/>
            </w:tcMar>
            <w:vAlign w:val="center"/>
          </w:tcPr>
          <w:p w14:paraId="48C9B114" w14:textId="77777777" w:rsidR="005578AA" w:rsidRDefault="005404B5">
            <w:pPr>
              <w:jc w:val="center"/>
            </w:pPr>
            <w:r>
              <w:rPr>
                <w:color w:val="1F2A2E"/>
                <w:sz w:val="19"/>
                <w:szCs w:val="19"/>
              </w:rPr>
              <w:t>Bank Reconciliation Agent, Working Paper Agent, Practice Management reporting</w:t>
            </w:r>
          </w:p>
        </w:tc>
      </w:tr>
    </w:tbl>
    <w:p w14:paraId="6587DD32" w14:textId="77777777" w:rsidR="005578AA" w:rsidRDefault="005404B5">
      <w:pPr>
        <w:pStyle w:val="Heading1"/>
        <w:pBdr>
          <w:bottom w:val="single" w:sz="8" w:space="4" w:color="0F6B5C"/>
        </w:pBdr>
        <w:spacing w:before="380" w:after="160"/>
      </w:pPr>
      <w:r>
        <w:rPr>
          <w:b/>
          <w:bCs/>
          <w:color w:val="0F6B5C"/>
          <w:sz w:val="28"/>
          <w:szCs w:val="28"/>
        </w:rPr>
        <w:t>5. Development Methodology — AI-Accelerated Engineering</w:t>
      </w:r>
    </w:p>
    <w:p w14:paraId="283DBC21" w14:textId="77777777" w:rsidR="005578AA" w:rsidRDefault="005404B5">
      <w:pPr>
        <w:spacing w:after="160" w:line="300" w:lineRule="auto"/>
      </w:pPr>
      <w:r>
        <w:rPr>
          <w:color w:val="1F2A2E"/>
          <w:sz w:val="21"/>
          <w:szCs w:val="21"/>
        </w:rPr>
        <w:t>The platform is built with Claude Code as the primary implementation tool, used by senior engineers rather than as a lightly-used aid — it drafts, scaffolds, and implements against the agreed architecture, and every output is reviewed before it merges. This is what makes the timeline in Section 6 realistic rather than optimistic:</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4950"/>
      </w:tblGrid>
      <w:tr w:rsidR="005578AA" w14:paraId="2EE69206" w14:textId="77777777">
        <w:tblPrEx>
          <w:tblCellMar>
            <w:top w:w="0" w:type="dxa"/>
            <w:bottom w:w="0" w:type="dxa"/>
          </w:tblCellMar>
        </w:tblPrEx>
        <w:trPr>
          <w:cantSplit/>
          <w:tblHeader/>
        </w:trPr>
        <w:tc>
          <w:tcPr>
            <w:tcW w:w="4400" w:type="dxa"/>
            <w:shd w:val="clear" w:color="auto" w:fill="0F6B5C"/>
            <w:tcMar>
              <w:top w:w="120" w:type="dxa"/>
              <w:left w:w="140" w:type="dxa"/>
              <w:bottom w:w="120" w:type="dxa"/>
              <w:right w:w="140" w:type="dxa"/>
            </w:tcMar>
            <w:vAlign w:val="center"/>
          </w:tcPr>
          <w:p w14:paraId="63670638" w14:textId="77777777" w:rsidR="005578AA" w:rsidRDefault="005404B5">
            <w:r>
              <w:rPr>
                <w:b/>
                <w:bCs/>
                <w:color w:val="FFFFFF"/>
                <w:sz w:val="19"/>
                <w:szCs w:val="19"/>
              </w:rPr>
              <w:t>Type of Work</w:t>
            </w:r>
          </w:p>
        </w:tc>
        <w:tc>
          <w:tcPr>
            <w:tcW w:w="4950" w:type="dxa"/>
            <w:shd w:val="clear" w:color="auto" w:fill="0F6B5C"/>
            <w:tcMar>
              <w:top w:w="120" w:type="dxa"/>
              <w:left w:w="140" w:type="dxa"/>
              <w:bottom w:w="120" w:type="dxa"/>
              <w:right w:w="140" w:type="dxa"/>
            </w:tcMar>
            <w:vAlign w:val="center"/>
          </w:tcPr>
          <w:p w14:paraId="02667015" w14:textId="77777777" w:rsidR="005578AA" w:rsidRDefault="005404B5">
            <w:pPr>
              <w:jc w:val="center"/>
            </w:pPr>
            <w:r>
              <w:rPr>
                <w:b/>
                <w:bCs/>
                <w:color w:val="FFFFFF"/>
                <w:sz w:val="19"/>
                <w:szCs w:val="19"/>
              </w:rPr>
              <w:t>Effect of AI-Accelerated Development</w:t>
            </w:r>
          </w:p>
        </w:tc>
      </w:tr>
      <w:tr w:rsidR="005578AA" w14:paraId="2CF7C18E" w14:textId="77777777">
        <w:tblPrEx>
          <w:tblCellMar>
            <w:top w:w="0" w:type="dxa"/>
            <w:bottom w:w="0" w:type="dxa"/>
          </w:tblCellMar>
        </w:tblPrEx>
        <w:trPr>
          <w:cantSplit/>
        </w:trPr>
        <w:tc>
          <w:tcPr>
            <w:tcW w:w="4400" w:type="dxa"/>
            <w:tcMar>
              <w:top w:w="120" w:type="dxa"/>
              <w:left w:w="140" w:type="dxa"/>
              <w:bottom w:w="120" w:type="dxa"/>
              <w:right w:w="140" w:type="dxa"/>
            </w:tcMar>
            <w:vAlign w:val="center"/>
          </w:tcPr>
          <w:p w14:paraId="5E7CB317" w14:textId="77777777" w:rsidR="005578AA" w:rsidRDefault="005404B5">
            <w:r>
              <w:rPr>
                <w:color w:val="1F2A2E"/>
                <w:sz w:val="19"/>
                <w:szCs w:val="19"/>
              </w:rPr>
              <w:t>Boilerplate, scaffolding, CRUD &amp; API layers</w:t>
            </w:r>
          </w:p>
        </w:tc>
        <w:tc>
          <w:tcPr>
            <w:tcW w:w="4950" w:type="dxa"/>
            <w:tcMar>
              <w:top w:w="120" w:type="dxa"/>
              <w:left w:w="140" w:type="dxa"/>
              <w:bottom w:w="120" w:type="dxa"/>
              <w:right w:w="140" w:type="dxa"/>
            </w:tcMar>
            <w:vAlign w:val="center"/>
          </w:tcPr>
          <w:p w14:paraId="70EF7210" w14:textId="77777777" w:rsidR="005578AA" w:rsidRDefault="005404B5">
            <w:pPr>
              <w:jc w:val="center"/>
            </w:pPr>
            <w:r>
              <w:rPr>
                <w:color w:val="1F2A2E"/>
                <w:sz w:val="19"/>
                <w:szCs w:val="19"/>
              </w:rPr>
              <w:t>Compresses sharply — largely automated under review</w:t>
            </w:r>
          </w:p>
        </w:tc>
      </w:tr>
      <w:tr w:rsidR="005578AA" w14:paraId="784AF48B" w14:textId="77777777">
        <w:tblPrEx>
          <w:tblCellMar>
            <w:top w:w="0" w:type="dxa"/>
            <w:bottom w:w="0" w:type="dxa"/>
          </w:tblCellMar>
        </w:tblPrEx>
        <w:trPr>
          <w:cantSplit/>
        </w:trPr>
        <w:tc>
          <w:tcPr>
            <w:tcW w:w="4400" w:type="dxa"/>
            <w:shd w:val="clear" w:color="auto" w:fill="E4F1EE"/>
            <w:tcMar>
              <w:top w:w="120" w:type="dxa"/>
              <w:left w:w="140" w:type="dxa"/>
              <w:bottom w:w="120" w:type="dxa"/>
              <w:right w:w="140" w:type="dxa"/>
            </w:tcMar>
            <w:vAlign w:val="center"/>
          </w:tcPr>
          <w:p w14:paraId="37C93416" w14:textId="77777777" w:rsidR="005578AA" w:rsidRDefault="005404B5">
            <w:r>
              <w:rPr>
                <w:color w:val="1F2A2E"/>
                <w:sz w:val="19"/>
                <w:szCs w:val="19"/>
              </w:rPr>
              <w:t xml:space="preserve">Dual-backend connector parity (Tally ↔ </w:t>
            </w:r>
            <w:proofErr w:type="spellStart"/>
            <w:r>
              <w:rPr>
                <w:color w:val="1F2A2E"/>
                <w:sz w:val="19"/>
                <w:szCs w:val="19"/>
              </w:rPr>
              <w:t>Zoho</w:t>
            </w:r>
            <w:proofErr w:type="spellEnd"/>
            <w:r>
              <w:rPr>
                <w:color w:val="1F2A2E"/>
                <w:sz w:val="19"/>
                <w:szCs w:val="19"/>
              </w:rPr>
              <w:t>)</w:t>
            </w:r>
          </w:p>
        </w:tc>
        <w:tc>
          <w:tcPr>
            <w:tcW w:w="4950" w:type="dxa"/>
            <w:shd w:val="clear" w:color="auto" w:fill="E4F1EE"/>
            <w:tcMar>
              <w:top w:w="120" w:type="dxa"/>
              <w:left w:w="140" w:type="dxa"/>
              <w:bottom w:w="120" w:type="dxa"/>
              <w:right w:w="140" w:type="dxa"/>
            </w:tcMar>
            <w:vAlign w:val="center"/>
          </w:tcPr>
          <w:p w14:paraId="3CDFFF1E" w14:textId="77777777" w:rsidR="005578AA" w:rsidRDefault="005404B5">
            <w:pPr>
              <w:jc w:val="center"/>
            </w:pPr>
            <w:r>
              <w:rPr>
                <w:color w:val="1F2A2E"/>
                <w:sz w:val="19"/>
                <w:szCs w:val="19"/>
              </w:rPr>
              <w:t>Compresses sharply — second adapter reuses the proven pattern</w:t>
            </w:r>
          </w:p>
        </w:tc>
      </w:tr>
      <w:tr w:rsidR="005578AA" w14:paraId="6078BAE6" w14:textId="77777777">
        <w:tblPrEx>
          <w:tblCellMar>
            <w:top w:w="0" w:type="dxa"/>
            <w:bottom w:w="0" w:type="dxa"/>
          </w:tblCellMar>
        </w:tblPrEx>
        <w:trPr>
          <w:cantSplit/>
        </w:trPr>
        <w:tc>
          <w:tcPr>
            <w:tcW w:w="4400" w:type="dxa"/>
            <w:tcMar>
              <w:top w:w="120" w:type="dxa"/>
              <w:left w:w="140" w:type="dxa"/>
              <w:bottom w:w="120" w:type="dxa"/>
              <w:right w:w="140" w:type="dxa"/>
            </w:tcMar>
            <w:vAlign w:val="center"/>
          </w:tcPr>
          <w:p w14:paraId="6E945FBF" w14:textId="77777777" w:rsidR="005578AA" w:rsidRDefault="005404B5">
            <w:r>
              <w:rPr>
                <w:color w:val="1F2A2E"/>
                <w:sz w:val="19"/>
                <w:szCs w:val="19"/>
              </w:rPr>
              <w:t xml:space="preserve">First-draft agent logic (matching, OCR wiring, </w:t>
            </w:r>
            <w:proofErr w:type="spellStart"/>
            <w:r>
              <w:rPr>
                <w:color w:val="1F2A2E"/>
                <w:sz w:val="19"/>
                <w:szCs w:val="19"/>
              </w:rPr>
              <w:t>templated</w:t>
            </w:r>
            <w:proofErr w:type="spellEnd"/>
            <w:r>
              <w:rPr>
                <w:color w:val="1F2A2E"/>
                <w:sz w:val="19"/>
                <w:szCs w:val="19"/>
              </w:rPr>
              <w:t xml:space="preserve"> </w:t>
            </w:r>
            <w:proofErr w:type="spellStart"/>
            <w:r>
              <w:rPr>
                <w:color w:val="1F2A2E"/>
                <w:sz w:val="19"/>
                <w:szCs w:val="19"/>
              </w:rPr>
              <w:t>comms</w:t>
            </w:r>
            <w:proofErr w:type="spellEnd"/>
            <w:r>
              <w:rPr>
                <w:color w:val="1F2A2E"/>
                <w:sz w:val="19"/>
                <w:szCs w:val="19"/>
              </w:rPr>
              <w:t>)</w:t>
            </w:r>
          </w:p>
        </w:tc>
        <w:tc>
          <w:tcPr>
            <w:tcW w:w="4950" w:type="dxa"/>
            <w:tcMar>
              <w:top w:w="120" w:type="dxa"/>
              <w:left w:w="140" w:type="dxa"/>
              <w:bottom w:w="120" w:type="dxa"/>
              <w:right w:w="140" w:type="dxa"/>
            </w:tcMar>
            <w:vAlign w:val="center"/>
          </w:tcPr>
          <w:p w14:paraId="4D2A07C4" w14:textId="77777777" w:rsidR="005578AA" w:rsidRDefault="005404B5">
            <w:pPr>
              <w:jc w:val="center"/>
            </w:pPr>
            <w:r>
              <w:rPr>
                <w:color w:val="1F2A2E"/>
                <w:sz w:val="19"/>
                <w:szCs w:val="19"/>
              </w:rPr>
              <w:t>Compresses significantly — faster first pass, same review bar</w:t>
            </w:r>
          </w:p>
        </w:tc>
      </w:tr>
      <w:tr w:rsidR="005578AA" w14:paraId="18646F15" w14:textId="77777777">
        <w:tblPrEx>
          <w:tblCellMar>
            <w:top w:w="0" w:type="dxa"/>
            <w:bottom w:w="0" w:type="dxa"/>
          </w:tblCellMar>
        </w:tblPrEx>
        <w:trPr>
          <w:cantSplit/>
        </w:trPr>
        <w:tc>
          <w:tcPr>
            <w:tcW w:w="4400" w:type="dxa"/>
            <w:shd w:val="clear" w:color="auto" w:fill="E4F1EE"/>
            <w:tcMar>
              <w:top w:w="120" w:type="dxa"/>
              <w:left w:w="140" w:type="dxa"/>
              <w:bottom w:w="120" w:type="dxa"/>
              <w:right w:w="140" w:type="dxa"/>
            </w:tcMar>
            <w:vAlign w:val="center"/>
          </w:tcPr>
          <w:p w14:paraId="12A6FB73" w14:textId="77777777" w:rsidR="005578AA" w:rsidRDefault="005404B5">
            <w:r>
              <w:rPr>
                <w:color w:val="1F2A2E"/>
                <w:sz w:val="19"/>
                <w:szCs w:val="19"/>
              </w:rPr>
              <w:t>GST/TDS correctness review &amp; compliance validation</w:t>
            </w:r>
          </w:p>
        </w:tc>
        <w:tc>
          <w:tcPr>
            <w:tcW w:w="4950" w:type="dxa"/>
            <w:shd w:val="clear" w:color="auto" w:fill="E4F1EE"/>
            <w:tcMar>
              <w:top w:w="120" w:type="dxa"/>
              <w:left w:w="140" w:type="dxa"/>
              <w:bottom w:w="120" w:type="dxa"/>
              <w:right w:w="140" w:type="dxa"/>
            </w:tcMar>
            <w:vAlign w:val="center"/>
          </w:tcPr>
          <w:p w14:paraId="2B0921DA" w14:textId="77777777" w:rsidR="005578AA" w:rsidRDefault="005404B5">
            <w:pPr>
              <w:jc w:val="center"/>
            </w:pPr>
            <w:r>
              <w:rPr>
                <w:color w:val="1F2A2E"/>
                <w:sz w:val="19"/>
                <w:szCs w:val="19"/>
              </w:rPr>
              <w:t>Unchanged — requires senior human sign-off regardless of tooling</w:t>
            </w:r>
          </w:p>
        </w:tc>
      </w:tr>
      <w:tr w:rsidR="005578AA" w14:paraId="2CBA8A7A" w14:textId="77777777">
        <w:tblPrEx>
          <w:tblCellMar>
            <w:top w:w="0" w:type="dxa"/>
            <w:bottom w:w="0" w:type="dxa"/>
          </w:tblCellMar>
        </w:tblPrEx>
        <w:trPr>
          <w:cantSplit/>
        </w:trPr>
        <w:tc>
          <w:tcPr>
            <w:tcW w:w="4400" w:type="dxa"/>
            <w:tcMar>
              <w:top w:w="120" w:type="dxa"/>
              <w:left w:w="140" w:type="dxa"/>
              <w:bottom w:w="120" w:type="dxa"/>
              <w:right w:w="140" w:type="dxa"/>
            </w:tcMar>
            <w:vAlign w:val="center"/>
          </w:tcPr>
          <w:p w14:paraId="600625A9" w14:textId="77777777" w:rsidR="005578AA" w:rsidRDefault="005404B5">
            <w:r>
              <w:rPr>
                <w:color w:val="1F2A2E"/>
                <w:sz w:val="19"/>
                <w:szCs w:val="19"/>
              </w:rPr>
              <w:t>Security review, edge-case handling, production hardening</w:t>
            </w:r>
          </w:p>
        </w:tc>
        <w:tc>
          <w:tcPr>
            <w:tcW w:w="4950" w:type="dxa"/>
            <w:tcMar>
              <w:top w:w="120" w:type="dxa"/>
              <w:left w:w="140" w:type="dxa"/>
              <w:bottom w:w="120" w:type="dxa"/>
              <w:right w:w="140" w:type="dxa"/>
            </w:tcMar>
            <w:vAlign w:val="center"/>
          </w:tcPr>
          <w:p w14:paraId="66DFA49A" w14:textId="77777777" w:rsidR="005578AA" w:rsidRDefault="005404B5">
            <w:pPr>
              <w:jc w:val="center"/>
            </w:pPr>
            <w:r>
              <w:rPr>
                <w:color w:val="1F2A2E"/>
                <w:sz w:val="19"/>
                <w:szCs w:val="19"/>
              </w:rPr>
              <w:t>Unchanged — same standard, same effort</w:t>
            </w:r>
          </w:p>
        </w:tc>
      </w:tr>
    </w:tbl>
    <w:p w14:paraId="0B5F3EB1" w14:textId="77777777" w:rsidR="005578AA" w:rsidRDefault="005578AA">
      <w:pPr>
        <w:spacing w:after="8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578AA" w14:paraId="2551B99A" w14:textId="77777777">
        <w:tblPrEx>
          <w:tblCellMar>
            <w:top w:w="0" w:type="dxa"/>
            <w:bottom w:w="0" w:type="dxa"/>
          </w:tblCellMar>
        </w:tblPrEx>
        <w:tc>
          <w:tcPr>
            <w:tcW w:w="9350" w:type="dxa"/>
            <w:shd w:val="clear" w:color="auto" w:fill="FBF1DD"/>
            <w:tcMar>
              <w:top w:w="180" w:type="dxa"/>
              <w:left w:w="220" w:type="dxa"/>
              <w:bottom w:w="180" w:type="dxa"/>
              <w:right w:w="220" w:type="dxa"/>
            </w:tcMar>
          </w:tcPr>
          <w:p w14:paraId="5FF4D401" w14:textId="77777777" w:rsidR="005578AA" w:rsidRDefault="005404B5">
            <w:pPr>
              <w:spacing w:after="60"/>
            </w:pPr>
            <w:r>
              <w:rPr>
                <w:b/>
                <w:bCs/>
                <w:color w:val="B8860B"/>
                <w:sz w:val="21"/>
                <w:szCs w:val="21"/>
              </w:rPr>
              <w:t>Where the review discipline sits</w:t>
            </w:r>
          </w:p>
          <w:p w14:paraId="4E76240C" w14:textId="77777777" w:rsidR="005578AA" w:rsidRDefault="005404B5">
            <w:pPr>
              <w:spacing w:line="280" w:lineRule="auto"/>
            </w:pPr>
            <w:r>
              <w:rPr>
                <w:color w:val="1F2A2E"/>
                <w:sz w:val="21"/>
                <w:szCs w:val="21"/>
              </w:rPr>
              <w:t>Every phase ends at a sign-off gate, not just a code-complete date. Phase 3 (the compliance layer) carries the heaviest review load in the project — AI-accelerated code is faster to draft, not faster to certify correct against a client's actual GSTR and TDS filings.</w:t>
            </w:r>
          </w:p>
        </w:tc>
      </w:tr>
    </w:tbl>
    <w:p w14:paraId="4B4A093C" w14:textId="77777777" w:rsidR="005578AA" w:rsidRDefault="005404B5">
      <w:r>
        <w:br w:type="page"/>
      </w:r>
    </w:p>
    <w:p w14:paraId="725116CA" w14:textId="77777777" w:rsidR="005578AA" w:rsidRDefault="005404B5">
      <w:pPr>
        <w:pStyle w:val="Heading1"/>
        <w:pBdr>
          <w:bottom w:val="single" w:sz="8" w:space="4" w:color="0F6B5C"/>
        </w:pBdr>
        <w:spacing w:before="380" w:after="160"/>
      </w:pPr>
      <w:r>
        <w:rPr>
          <w:b/>
          <w:bCs/>
          <w:color w:val="0F6B5C"/>
          <w:sz w:val="28"/>
          <w:szCs w:val="28"/>
        </w:rPr>
        <w:t>6. Implementation Timeline &amp; Phases</w:t>
      </w:r>
    </w:p>
    <w:p w14:paraId="2BE434FA" w14:textId="77777777" w:rsidR="005578AA" w:rsidRDefault="005404B5">
      <w:pPr>
        <w:spacing w:after="160" w:line="300" w:lineRule="auto"/>
      </w:pPr>
      <w:r>
        <w:rPr>
          <w:color w:val="1F2A2E"/>
          <w:sz w:val="21"/>
          <w:szCs w:val="21"/>
        </w:rPr>
        <w:t xml:space="preserve">Total elapsed time: approximately 22 weeks (~5 months) from Phase 0 </w:t>
      </w:r>
      <w:proofErr w:type="spellStart"/>
      <w:r>
        <w:rPr>
          <w:color w:val="1F2A2E"/>
          <w:sz w:val="21"/>
          <w:szCs w:val="21"/>
        </w:rPr>
        <w:t>kickoff</w:t>
      </w:r>
      <w:proofErr w:type="spellEnd"/>
      <w:r>
        <w:rPr>
          <w:color w:val="1F2A2E"/>
          <w:sz w:val="21"/>
          <w:szCs w:val="21"/>
        </w:rPr>
        <w:t xml:space="preserve"> to handover, assuming timely client-side inputs (Tally Cloud access, </w:t>
      </w:r>
      <w:proofErr w:type="spellStart"/>
      <w:r>
        <w:rPr>
          <w:color w:val="1F2A2E"/>
          <w:sz w:val="21"/>
          <w:szCs w:val="21"/>
        </w:rPr>
        <w:t>Zoho</w:t>
      </w:r>
      <w:proofErr w:type="spellEnd"/>
      <w:r>
        <w:rPr>
          <w:color w:val="1F2A2E"/>
          <w:sz w:val="21"/>
          <w:szCs w:val="21"/>
        </w:rPr>
        <w:t xml:space="preserve"> OAuth credentials, UAT turnaround).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50"/>
        <w:gridCol w:w="5100"/>
      </w:tblGrid>
      <w:tr w:rsidR="005578AA" w14:paraId="0E1CC935" w14:textId="77777777">
        <w:tblPrEx>
          <w:tblCellMar>
            <w:top w:w="0" w:type="dxa"/>
            <w:bottom w:w="0" w:type="dxa"/>
          </w:tblCellMar>
        </w:tblPrEx>
        <w:trPr>
          <w:cantSplit/>
          <w:tblHeader/>
        </w:trPr>
        <w:tc>
          <w:tcPr>
            <w:tcW w:w="2600" w:type="dxa"/>
            <w:shd w:val="clear" w:color="auto" w:fill="0F6B5C"/>
            <w:tcMar>
              <w:top w:w="120" w:type="dxa"/>
              <w:left w:w="140" w:type="dxa"/>
              <w:bottom w:w="120" w:type="dxa"/>
              <w:right w:w="140" w:type="dxa"/>
            </w:tcMar>
            <w:vAlign w:val="center"/>
          </w:tcPr>
          <w:p w14:paraId="6CD11C61" w14:textId="77777777" w:rsidR="005578AA" w:rsidRDefault="005404B5">
            <w:r>
              <w:rPr>
                <w:b/>
                <w:bCs/>
                <w:color w:val="FFFFFF"/>
                <w:sz w:val="19"/>
                <w:szCs w:val="19"/>
              </w:rPr>
              <w:t>Phase</w:t>
            </w:r>
          </w:p>
        </w:tc>
        <w:tc>
          <w:tcPr>
            <w:tcW w:w="1650" w:type="dxa"/>
            <w:shd w:val="clear" w:color="auto" w:fill="0F6B5C"/>
            <w:tcMar>
              <w:top w:w="120" w:type="dxa"/>
              <w:left w:w="140" w:type="dxa"/>
              <w:bottom w:w="120" w:type="dxa"/>
              <w:right w:w="140" w:type="dxa"/>
            </w:tcMar>
            <w:vAlign w:val="center"/>
          </w:tcPr>
          <w:p w14:paraId="2D3AB2F8" w14:textId="77777777" w:rsidR="005578AA" w:rsidRDefault="005404B5">
            <w:pPr>
              <w:jc w:val="center"/>
            </w:pPr>
            <w:r>
              <w:rPr>
                <w:b/>
                <w:bCs/>
                <w:color w:val="FFFFFF"/>
                <w:sz w:val="19"/>
                <w:szCs w:val="19"/>
              </w:rPr>
              <w:t>Duration</w:t>
            </w:r>
          </w:p>
        </w:tc>
        <w:tc>
          <w:tcPr>
            <w:tcW w:w="5100" w:type="dxa"/>
            <w:shd w:val="clear" w:color="auto" w:fill="0F6B5C"/>
            <w:tcMar>
              <w:top w:w="120" w:type="dxa"/>
              <w:left w:w="140" w:type="dxa"/>
              <w:bottom w:w="120" w:type="dxa"/>
              <w:right w:w="140" w:type="dxa"/>
            </w:tcMar>
            <w:vAlign w:val="center"/>
          </w:tcPr>
          <w:p w14:paraId="3FF0A5FE" w14:textId="77777777" w:rsidR="005578AA" w:rsidRDefault="005404B5">
            <w:pPr>
              <w:jc w:val="center"/>
            </w:pPr>
            <w:r>
              <w:rPr>
                <w:b/>
                <w:bCs/>
                <w:color w:val="FFFFFF"/>
                <w:sz w:val="19"/>
                <w:szCs w:val="19"/>
              </w:rPr>
              <w:t>Exit Criteria</w:t>
            </w:r>
          </w:p>
        </w:tc>
      </w:tr>
      <w:tr w:rsidR="005578AA" w14:paraId="3C02D6A6" w14:textId="77777777">
        <w:tblPrEx>
          <w:tblCellMar>
            <w:top w:w="0" w:type="dxa"/>
            <w:bottom w:w="0" w:type="dxa"/>
          </w:tblCellMar>
        </w:tblPrEx>
        <w:trPr>
          <w:cantSplit/>
        </w:trPr>
        <w:tc>
          <w:tcPr>
            <w:tcW w:w="2600" w:type="dxa"/>
            <w:tcMar>
              <w:top w:w="120" w:type="dxa"/>
              <w:left w:w="140" w:type="dxa"/>
              <w:bottom w:w="120" w:type="dxa"/>
              <w:right w:w="140" w:type="dxa"/>
            </w:tcMar>
            <w:vAlign w:val="center"/>
          </w:tcPr>
          <w:p w14:paraId="015FB81F" w14:textId="77777777" w:rsidR="005578AA" w:rsidRDefault="005404B5">
            <w:r>
              <w:rPr>
                <w:color w:val="1F2A2E"/>
                <w:sz w:val="19"/>
                <w:szCs w:val="19"/>
              </w:rPr>
              <w:t>Phase 0 — Baseline &amp; Readiness</w:t>
            </w:r>
          </w:p>
        </w:tc>
        <w:tc>
          <w:tcPr>
            <w:tcW w:w="1650" w:type="dxa"/>
            <w:tcMar>
              <w:top w:w="120" w:type="dxa"/>
              <w:left w:w="140" w:type="dxa"/>
              <w:bottom w:w="120" w:type="dxa"/>
              <w:right w:w="140" w:type="dxa"/>
            </w:tcMar>
            <w:vAlign w:val="center"/>
          </w:tcPr>
          <w:p w14:paraId="502723C6" w14:textId="77777777" w:rsidR="005578AA" w:rsidRDefault="005404B5">
            <w:pPr>
              <w:jc w:val="center"/>
            </w:pPr>
            <w:r>
              <w:rPr>
                <w:color w:val="1F2A2E"/>
                <w:sz w:val="19"/>
                <w:szCs w:val="19"/>
              </w:rPr>
              <w:t>Weeks 1–2</w:t>
            </w:r>
          </w:p>
        </w:tc>
        <w:tc>
          <w:tcPr>
            <w:tcW w:w="5100" w:type="dxa"/>
            <w:tcMar>
              <w:top w:w="120" w:type="dxa"/>
              <w:left w:w="140" w:type="dxa"/>
              <w:bottom w:w="120" w:type="dxa"/>
              <w:right w:w="140" w:type="dxa"/>
            </w:tcMar>
            <w:vAlign w:val="center"/>
          </w:tcPr>
          <w:p w14:paraId="08944AB6" w14:textId="77777777" w:rsidR="005578AA" w:rsidRDefault="005404B5">
            <w:pPr>
              <w:jc w:val="center"/>
            </w:pPr>
            <w:r>
              <w:rPr>
                <w:color w:val="1F2A2E"/>
                <w:sz w:val="19"/>
                <w:szCs w:val="19"/>
              </w:rPr>
              <w:t>Dev Readiness Checklist signed off; API Spec, Coding Guidelines, Security Standard, and Testing Strategy updated for dual-backend</w:t>
            </w:r>
          </w:p>
        </w:tc>
      </w:tr>
      <w:tr w:rsidR="005578AA" w14:paraId="0E8C3771" w14:textId="77777777">
        <w:tblPrEx>
          <w:tblCellMar>
            <w:top w:w="0" w:type="dxa"/>
            <w:bottom w:w="0" w:type="dxa"/>
          </w:tblCellMar>
        </w:tblPrEx>
        <w:trPr>
          <w:cantSplit/>
        </w:trPr>
        <w:tc>
          <w:tcPr>
            <w:tcW w:w="2600" w:type="dxa"/>
            <w:shd w:val="clear" w:color="auto" w:fill="E4F1EE"/>
            <w:tcMar>
              <w:top w:w="120" w:type="dxa"/>
              <w:left w:w="140" w:type="dxa"/>
              <w:bottom w:w="120" w:type="dxa"/>
              <w:right w:w="140" w:type="dxa"/>
            </w:tcMar>
            <w:vAlign w:val="center"/>
          </w:tcPr>
          <w:p w14:paraId="53F1706D" w14:textId="77777777" w:rsidR="005578AA" w:rsidRDefault="005404B5">
            <w:r>
              <w:rPr>
                <w:color w:val="1F2A2E"/>
                <w:sz w:val="19"/>
                <w:szCs w:val="19"/>
              </w:rPr>
              <w:t>Phase 1 — Foundation</w:t>
            </w:r>
          </w:p>
        </w:tc>
        <w:tc>
          <w:tcPr>
            <w:tcW w:w="1650" w:type="dxa"/>
            <w:shd w:val="clear" w:color="auto" w:fill="E4F1EE"/>
            <w:tcMar>
              <w:top w:w="120" w:type="dxa"/>
              <w:left w:w="140" w:type="dxa"/>
              <w:bottom w:w="120" w:type="dxa"/>
              <w:right w:w="140" w:type="dxa"/>
            </w:tcMar>
            <w:vAlign w:val="center"/>
          </w:tcPr>
          <w:p w14:paraId="7072E26E" w14:textId="77777777" w:rsidR="005578AA" w:rsidRDefault="005404B5">
            <w:pPr>
              <w:jc w:val="center"/>
            </w:pPr>
            <w:r>
              <w:rPr>
                <w:color w:val="1F2A2E"/>
                <w:sz w:val="19"/>
                <w:szCs w:val="19"/>
              </w:rPr>
              <w:t>Weeks 3–7</w:t>
            </w:r>
          </w:p>
        </w:tc>
        <w:tc>
          <w:tcPr>
            <w:tcW w:w="5100" w:type="dxa"/>
            <w:shd w:val="clear" w:color="auto" w:fill="E4F1EE"/>
            <w:tcMar>
              <w:top w:w="120" w:type="dxa"/>
              <w:left w:w="140" w:type="dxa"/>
              <w:bottom w:w="120" w:type="dxa"/>
              <w:right w:w="140" w:type="dxa"/>
            </w:tcMar>
            <w:vAlign w:val="center"/>
          </w:tcPr>
          <w:p w14:paraId="02659831" w14:textId="77777777" w:rsidR="005578AA" w:rsidRDefault="005404B5">
            <w:pPr>
              <w:jc w:val="center"/>
            </w:pPr>
            <w:r>
              <w:rPr>
                <w:color w:val="1F2A2E"/>
                <w:sz w:val="19"/>
                <w:szCs w:val="19"/>
              </w:rPr>
              <w:t xml:space="preserve">Task engine + dashboard live in staging; </w:t>
            </w:r>
            <w:proofErr w:type="spellStart"/>
            <w:r>
              <w:rPr>
                <w:color w:val="1F2A2E"/>
                <w:sz w:val="19"/>
                <w:szCs w:val="19"/>
              </w:rPr>
              <w:t>BooksConnector</w:t>
            </w:r>
            <w:proofErr w:type="spellEnd"/>
            <w:r>
              <w:rPr>
                <w:color w:val="1F2A2E"/>
                <w:sz w:val="19"/>
                <w:szCs w:val="19"/>
              </w:rPr>
              <w:t xml:space="preserve"> passes read/write parity tests on both adapters; Intake Agent classifying real sample documents</w:t>
            </w:r>
          </w:p>
        </w:tc>
      </w:tr>
      <w:tr w:rsidR="005578AA" w14:paraId="4B74DCCB" w14:textId="77777777">
        <w:tblPrEx>
          <w:tblCellMar>
            <w:top w:w="0" w:type="dxa"/>
            <w:bottom w:w="0" w:type="dxa"/>
          </w:tblCellMar>
        </w:tblPrEx>
        <w:trPr>
          <w:cantSplit/>
        </w:trPr>
        <w:tc>
          <w:tcPr>
            <w:tcW w:w="2600" w:type="dxa"/>
            <w:tcMar>
              <w:top w:w="120" w:type="dxa"/>
              <w:left w:w="140" w:type="dxa"/>
              <w:bottom w:w="120" w:type="dxa"/>
              <w:right w:w="140" w:type="dxa"/>
            </w:tcMar>
            <w:vAlign w:val="center"/>
          </w:tcPr>
          <w:p w14:paraId="3437A0E7" w14:textId="77777777" w:rsidR="005578AA" w:rsidRDefault="005404B5">
            <w:r>
              <w:rPr>
                <w:color w:val="1F2A2E"/>
                <w:sz w:val="19"/>
                <w:szCs w:val="19"/>
              </w:rPr>
              <w:t>Phase 2 — Leverage Agents</w:t>
            </w:r>
          </w:p>
        </w:tc>
        <w:tc>
          <w:tcPr>
            <w:tcW w:w="1650" w:type="dxa"/>
            <w:tcMar>
              <w:top w:w="120" w:type="dxa"/>
              <w:left w:w="140" w:type="dxa"/>
              <w:bottom w:w="120" w:type="dxa"/>
              <w:right w:w="140" w:type="dxa"/>
            </w:tcMar>
            <w:vAlign w:val="center"/>
          </w:tcPr>
          <w:p w14:paraId="552486E6" w14:textId="77777777" w:rsidR="005578AA" w:rsidRDefault="005404B5">
            <w:pPr>
              <w:jc w:val="center"/>
            </w:pPr>
            <w:r>
              <w:rPr>
                <w:color w:val="1F2A2E"/>
                <w:sz w:val="19"/>
                <w:szCs w:val="19"/>
              </w:rPr>
              <w:t>Weeks 8–11</w:t>
            </w:r>
          </w:p>
        </w:tc>
        <w:tc>
          <w:tcPr>
            <w:tcW w:w="5100" w:type="dxa"/>
            <w:tcMar>
              <w:top w:w="120" w:type="dxa"/>
              <w:left w:w="140" w:type="dxa"/>
              <w:bottom w:w="120" w:type="dxa"/>
              <w:right w:w="140" w:type="dxa"/>
            </w:tcMar>
            <w:vAlign w:val="center"/>
          </w:tcPr>
          <w:p w14:paraId="7557FC3E" w14:textId="77777777" w:rsidR="005578AA" w:rsidRDefault="005404B5">
            <w:pPr>
              <w:jc w:val="center"/>
            </w:pPr>
            <w:r>
              <w:rPr>
                <w:color w:val="1F2A2E"/>
                <w:sz w:val="19"/>
                <w:szCs w:val="19"/>
              </w:rPr>
              <w:t>Bookkeeping Agent posts verified entries to a pilot client's books; Client Communication Agent sending reviewed reminders</w:t>
            </w:r>
          </w:p>
        </w:tc>
      </w:tr>
      <w:tr w:rsidR="005578AA" w14:paraId="7A40976F" w14:textId="77777777">
        <w:tblPrEx>
          <w:tblCellMar>
            <w:top w:w="0" w:type="dxa"/>
            <w:bottom w:w="0" w:type="dxa"/>
          </w:tblCellMar>
        </w:tblPrEx>
        <w:trPr>
          <w:cantSplit/>
        </w:trPr>
        <w:tc>
          <w:tcPr>
            <w:tcW w:w="2600" w:type="dxa"/>
            <w:shd w:val="clear" w:color="auto" w:fill="E4F1EE"/>
            <w:tcMar>
              <w:top w:w="120" w:type="dxa"/>
              <w:left w:w="140" w:type="dxa"/>
              <w:bottom w:w="120" w:type="dxa"/>
              <w:right w:w="140" w:type="dxa"/>
            </w:tcMar>
            <w:vAlign w:val="center"/>
          </w:tcPr>
          <w:p w14:paraId="5D4744C4" w14:textId="77777777" w:rsidR="005578AA" w:rsidRDefault="005404B5">
            <w:r>
              <w:rPr>
                <w:color w:val="1F2A2E"/>
                <w:sz w:val="19"/>
                <w:szCs w:val="19"/>
              </w:rPr>
              <w:t>Phase 3 — Compliance Layer</w:t>
            </w:r>
          </w:p>
        </w:tc>
        <w:tc>
          <w:tcPr>
            <w:tcW w:w="1650" w:type="dxa"/>
            <w:shd w:val="clear" w:color="auto" w:fill="E4F1EE"/>
            <w:tcMar>
              <w:top w:w="120" w:type="dxa"/>
              <w:left w:w="140" w:type="dxa"/>
              <w:bottom w:w="120" w:type="dxa"/>
              <w:right w:w="140" w:type="dxa"/>
            </w:tcMar>
            <w:vAlign w:val="center"/>
          </w:tcPr>
          <w:p w14:paraId="1225F80F" w14:textId="77777777" w:rsidR="005578AA" w:rsidRDefault="005404B5">
            <w:pPr>
              <w:jc w:val="center"/>
            </w:pPr>
            <w:r>
              <w:rPr>
                <w:color w:val="1F2A2E"/>
                <w:sz w:val="19"/>
                <w:szCs w:val="19"/>
              </w:rPr>
              <w:t>Weeks 12–17</w:t>
            </w:r>
          </w:p>
        </w:tc>
        <w:tc>
          <w:tcPr>
            <w:tcW w:w="5100" w:type="dxa"/>
            <w:shd w:val="clear" w:color="auto" w:fill="E4F1EE"/>
            <w:tcMar>
              <w:top w:w="120" w:type="dxa"/>
              <w:left w:w="140" w:type="dxa"/>
              <w:bottom w:w="120" w:type="dxa"/>
              <w:right w:w="140" w:type="dxa"/>
            </w:tcMar>
            <w:vAlign w:val="center"/>
          </w:tcPr>
          <w:p w14:paraId="55AA1DA8" w14:textId="77777777" w:rsidR="005578AA" w:rsidRDefault="005404B5">
            <w:pPr>
              <w:jc w:val="center"/>
            </w:pPr>
            <w:r>
              <w:rPr>
                <w:color w:val="1F2A2E"/>
                <w:sz w:val="19"/>
                <w:szCs w:val="19"/>
              </w:rPr>
              <w:t>Reconciliation, Validation, and TDS/TCS agents pass parallel-run testing against a completed manual filing cycle</w:t>
            </w:r>
          </w:p>
        </w:tc>
      </w:tr>
      <w:tr w:rsidR="005578AA" w14:paraId="4807DEEA" w14:textId="77777777">
        <w:tblPrEx>
          <w:tblCellMar>
            <w:top w:w="0" w:type="dxa"/>
            <w:bottom w:w="0" w:type="dxa"/>
          </w:tblCellMar>
        </w:tblPrEx>
        <w:trPr>
          <w:cantSplit/>
        </w:trPr>
        <w:tc>
          <w:tcPr>
            <w:tcW w:w="2600" w:type="dxa"/>
            <w:tcMar>
              <w:top w:w="120" w:type="dxa"/>
              <w:left w:w="140" w:type="dxa"/>
              <w:bottom w:w="120" w:type="dxa"/>
              <w:right w:w="140" w:type="dxa"/>
            </w:tcMar>
            <w:vAlign w:val="center"/>
          </w:tcPr>
          <w:p w14:paraId="1AFE82A0" w14:textId="77777777" w:rsidR="005578AA" w:rsidRDefault="005404B5">
            <w:r>
              <w:rPr>
                <w:color w:val="1F2A2E"/>
                <w:sz w:val="19"/>
                <w:szCs w:val="19"/>
              </w:rPr>
              <w:t>Phase 4 — Remaining Agents</w:t>
            </w:r>
          </w:p>
        </w:tc>
        <w:tc>
          <w:tcPr>
            <w:tcW w:w="1650" w:type="dxa"/>
            <w:tcMar>
              <w:top w:w="120" w:type="dxa"/>
              <w:left w:w="140" w:type="dxa"/>
              <w:bottom w:w="120" w:type="dxa"/>
              <w:right w:w="140" w:type="dxa"/>
            </w:tcMar>
            <w:vAlign w:val="center"/>
          </w:tcPr>
          <w:p w14:paraId="30E5ECFF" w14:textId="77777777" w:rsidR="005578AA" w:rsidRDefault="005404B5">
            <w:pPr>
              <w:jc w:val="center"/>
            </w:pPr>
            <w:r>
              <w:rPr>
                <w:color w:val="1F2A2E"/>
                <w:sz w:val="19"/>
                <w:szCs w:val="19"/>
              </w:rPr>
              <w:t>Weeks 18–20</w:t>
            </w:r>
          </w:p>
        </w:tc>
        <w:tc>
          <w:tcPr>
            <w:tcW w:w="5100" w:type="dxa"/>
            <w:tcMar>
              <w:top w:w="120" w:type="dxa"/>
              <w:left w:w="140" w:type="dxa"/>
              <w:bottom w:w="120" w:type="dxa"/>
              <w:right w:w="140" w:type="dxa"/>
            </w:tcMar>
            <w:vAlign w:val="center"/>
          </w:tcPr>
          <w:p w14:paraId="7FC1C74D" w14:textId="77777777" w:rsidR="005578AA" w:rsidRDefault="005404B5">
            <w:pPr>
              <w:jc w:val="center"/>
            </w:pPr>
            <w:r>
              <w:rPr>
                <w:color w:val="1F2A2E"/>
                <w:sz w:val="19"/>
                <w:szCs w:val="19"/>
              </w:rPr>
              <w:t>Bank Reconciliation and Working Paper agents live; Practice Management dashboard reporting real firm data</w:t>
            </w:r>
          </w:p>
        </w:tc>
      </w:tr>
      <w:tr w:rsidR="005578AA" w14:paraId="6A98219B" w14:textId="77777777">
        <w:tblPrEx>
          <w:tblCellMar>
            <w:top w:w="0" w:type="dxa"/>
            <w:bottom w:w="0" w:type="dxa"/>
          </w:tblCellMar>
        </w:tblPrEx>
        <w:trPr>
          <w:cantSplit/>
        </w:trPr>
        <w:tc>
          <w:tcPr>
            <w:tcW w:w="2600" w:type="dxa"/>
            <w:shd w:val="clear" w:color="auto" w:fill="E4F1EE"/>
            <w:tcMar>
              <w:top w:w="120" w:type="dxa"/>
              <w:left w:w="140" w:type="dxa"/>
              <w:bottom w:w="120" w:type="dxa"/>
              <w:right w:w="140" w:type="dxa"/>
            </w:tcMar>
            <w:vAlign w:val="center"/>
          </w:tcPr>
          <w:p w14:paraId="70FFA048" w14:textId="77777777" w:rsidR="005578AA" w:rsidRDefault="005404B5">
            <w:r>
              <w:rPr>
                <w:color w:val="1F2A2E"/>
                <w:sz w:val="19"/>
                <w:szCs w:val="19"/>
              </w:rPr>
              <w:t>UAT &amp; Handover</w:t>
            </w:r>
          </w:p>
        </w:tc>
        <w:tc>
          <w:tcPr>
            <w:tcW w:w="1650" w:type="dxa"/>
            <w:shd w:val="clear" w:color="auto" w:fill="E4F1EE"/>
            <w:tcMar>
              <w:top w:w="120" w:type="dxa"/>
              <w:left w:w="140" w:type="dxa"/>
              <w:bottom w:w="120" w:type="dxa"/>
              <w:right w:w="140" w:type="dxa"/>
            </w:tcMar>
            <w:vAlign w:val="center"/>
          </w:tcPr>
          <w:p w14:paraId="19B4CBDE" w14:textId="77777777" w:rsidR="005578AA" w:rsidRDefault="005404B5">
            <w:pPr>
              <w:jc w:val="center"/>
            </w:pPr>
            <w:r>
              <w:rPr>
                <w:color w:val="1F2A2E"/>
                <w:sz w:val="19"/>
                <w:szCs w:val="19"/>
              </w:rPr>
              <w:t>Weeks 21–22</w:t>
            </w:r>
          </w:p>
        </w:tc>
        <w:tc>
          <w:tcPr>
            <w:tcW w:w="5100" w:type="dxa"/>
            <w:shd w:val="clear" w:color="auto" w:fill="E4F1EE"/>
            <w:tcMar>
              <w:top w:w="120" w:type="dxa"/>
              <w:left w:w="140" w:type="dxa"/>
              <w:bottom w:w="120" w:type="dxa"/>
              <w:right w:w="140" w:type="dxa"/>
            </w:tcMar>
            <w:vAlign w:val="center"/>
          </w:tcPr>
          <w:p w14:paraId="47FDB1BB" w14:textId="77777777" w:rsidR="005578AA" w:rsidRDefault="005404B5">
            <w:pPr>
              <w:jc w:val="center"/>
            </w:pPr>
            <w:r>
              <w:rPr>
                <w:color w:val="1F2A2E"/>
                <w:sz w:val="19"/>
                <w:szCs w:val="19"/>
              </w:rPr>
              <w:t>Client sign-off on acceptance criteria; production cutover; team handover and documentation delivered</w:t>
            </w:r>
          </w:p>
        </w:tc>
      </w:tr>
    </w:tbl>
    <w:p w14:paraId="694E2CDE" w14:textId="77777777" w:rsidR="005578AA" w:rsidRDefault="005578AA">
      <w:pPr>
        <w:spacing w:after="100"/>
      </w:pPr>
    </w:p>
    <w:p w14:paraId="771C409F" w14:textId="77777777" w:rsidR="005578AA" w:rsidRDefault="005404B5">
      <w:pPr>
        <w:spacing w:after="160" w:line="300" w:lineRule="auto"/>
      </w:pPr>
      <w:r>
        <w:rPr>
          <w:color w:val="1F2A2E"/>
          <w:sz w:val="21"/>
          <w:szCs w:val="21"/>
        </w:rPr>
        <w:t xml:space="preserve">Phases run sequentially at the platform-core level (each depends on the one before it), but within Phase 1 the </w:t>
      </w:r>
      <w:proofErr w:type="spellStart"/>
      <w:r>
        <w:rPr>
          <w:color w:val="1F2A2E"/>
          <w:sz w:val="21"/>
          <w:szCs w:val="21"/>
        </w:rPr>
        <w:t>ZohoAdapter</w:t>
      </w:r>
      <w:proofErr w:type="spellEnd"/>
      <w:r>
        <w:rPr>
          <w:color w:val="1F2A2E"/>
          <w:sz w:val="21"/>
          <w:szCs w:val="21"/>
        </w:rPr>
        <w:t xml:space="preserve"> build starts as soon as the </w:t>
      </w:r>
      <w:proofErr w:type="spellStart"/>
      <w:r>
        <w:rPr>
          <w:color w:val="1F2A2E"/>
          <w:sz w:val="21"/>
          <w:szCs w:val="21"/>
        </w:rPr>
        <w:t>BooksConnector</w:t>
      </w:r>
      <w:proofErr w:type="spellEnd"/>
      <w:r>
        <w:rPr>
          <w:color w:val="1F2A2E"/>
          <w:sz w:val="21"/>
          <w:szCs w:val="21"/>
        </w:rPr>
        <w:t xml:space="preserve"> interface and </w:t>
      </w:r>
      <w:proofErr w:type="spellStart"/>
      <w:r>
        <w:rPr>
          <w:color w:val="1F2A2E"/>
          <w:sz w:val="21"/>
          <w:szCs w:val="21"/>
        </w:rPr>
        <w:t>TallyAdapter</w:t>
      </w:r>
      <w:proofErr w:type="spellEnd"/>
      <w:r>
        <w:rPr>
          <w:color w:val="1F2A2E"/>
          <w:sz w:val="21"/>
          <w:szCs w:val="21"/>
        </w:rPr>
        <w:t xml:space="preserve"> are proven — the second adapter does not wait for the first to fully close out, which is where part of the timeline compression in Section 5 shows up directly.</w:t>
      </w:r>
    </w:p>
    <w:p w14:paraId="11E81D42" w14:textId="77777777" w:rsidR="005578AA" w:rsidRDefault="005404B5">
      <w:pPr>
        <w:pStyle w:val="Heading1"/>
        <w:pBdr>
          <w:bottom w:val="single" w:sz="8" w:space="4" w:color="0F6B5C"/>
        </w:pBdr>
        <w:spacing w:before="380" w:after="160"/>
      </w:pPr>
      <w:r>
        <w:rPr>
          <w:b/>
          <w:bCs/>
          <w:color w:val="0F6B5C"/>
          <w:sz w:val="28"/>
          <w:szCs w:val="28"/>
        </w:rPr>
        <w:t>7. Team &amp; Engagement Model</w:t>
      </w:r>
    </w:p>
    <w:tbl>
      <w:tblPr>
        <w:tblW w:w="9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100"/>
        <w:gridCol w:w="4650"/>
      </w:tblGrid>
      <w:tr w:rsidR="005578AA" w14:paraId="7A699E4E" w14:textId="77777777">
        <w:tblPrEx>
          <w:tblCellMar>
            <w:top w:w="0" w:type="dxa"/>
            <w:bottom w:w="0" w:type="dxa"/>
          </w:tblCellMar>
        </w:tblPrEx>
        <w:trPr>
          <w:cantSplit/>
          <w:tblHeader/>
        </w:trPr>
        <w:tc>
          <w:tcPr>
            <w:tcW w:w="2500" w:type="dxa"/>
            <w:shd w:val="clear" w:color="auto" w:fill="0F6B5C"/>
            <w:tcMar>
              <w:top w:w="120" w:type="dxa"/>
              <w:left w:w="140" w:type="dxa"/>
              <w:bottom w:w="120" w:type="dxa"/>
              <w:right w:w="140" w:type="dxa"/>
            </w:tcMar>
            <w:vAlign w:val="center"/>
          </w:tcPr>
          <w:p w14:paraId="10B72C72" w14:textId="77777777" w:rsidR="005578AA" w:rsidRDefault="005404B5">
            <w:r>
              <w:rPr>
                <w:b/>
                <w:bCs/>
                <w:color w:val="FFFFFF"/>
                <w:sz w:val="19"/>
                <w:szCs w:val="19"/>
              </w:rPr>
              <w:t>Role</w:t>
            </w:r>
          </w:p>
        </w:tc>
        <w:tc>
          <w:tcPr>
            <w:tcW w:w="2100" w:type="dxa"/>
            <w:shd w:val="clear" w:color="auto" w:fill="0F6B5C"/>
            <w:tcMar>
              <w:top w:w="120" w:type="dxa"/>
              <w:left w:w="140" w:type="dxa"/>
              <w:bottom w:w="120" w:type="dxa"/>
              <w:right w:w="140" w:type="dxa"/>
            </w:tcMar>
            <w:vAlign w:val="center"/>
          </w:tcPr>
          <w:p w14:paraId="5E30BF1E" w14:textId="77777777" w:rsidR="005578AA" w:rsidRDefault="005404B5">
            <w:pPr>
              <w:jc w:val="center"/>
            </w:pPr>
            <w:r>
              <w:rPr>
                <w:b/>
                <w:bCs/>
                <w:color w:val="FFFFFF"/>
                <w:sz w:val="19"/>
                <w:szCs w:val="19"/>
              </w:rPr>
              <w:t>Allocation</w:t>
            </w:r>
          </w:p>
        </w:tc>
        <w:tc>
          <w:tcPr>
            <w:tcW w:w="4650" w:type="dxa"/>
            <w:shd w:val="clear" w:color="auto" w:fill="0F6B5C"/>
            <w:tcMar>
              <w:top w:w="120" w:type="dxa"/>
              <w:left w:w="140" w:type="dxa"/>
              <w:bottom w:w="120" w:type="dxa"/>
              <w:right w:w="140" w:type="dxa"/>
            </w:tcMar>
            <w:vAlign w:val="center"/>
          </w:tcPr>
          <w:p w14:paraId="0F20DA76" w14:textId="77777777" w:rsidR="005578AA" w:rsidRDefault="005404B5">
            <w:pPr>
              <w:jc w:val="center"/>
            </w:pPr>
            <w:r>
              <w:rPr>
                <w:b/>
                <w:bCs/>
                <w:color w:val="FFFFFF"/>
                <w:sz w:val="19"/>
                <w:szCs w:val="19"/>
              </w:rPr>
              <w:t>Responsibility</w:t>
            </w:r>
          </w:p>
        </w:tc>
      </w:tr>
      <w:tr w:rsidR="005578AA" w14:paraId="620C2082" w14:textId="77777777">
        <w:tblPrEx>
          <w:tblCellMar>
            <w:top w:w="0" w:type="dxa"/>
            <w:bottom w:w="0" w:type="dxa"/>
          </w:tblCellMar>
        </w:tblPrEx>
        <w:trPr>
          <w:cantSplit/>
        </w:trPr>
        <w:tc>
          <w:tcPr>
            <w:tcW w:w="2500" w:type="dxa"/>
            <w:tcMar>
              <w:top w:w="120" w:type="dxa"/>
              <w:left w:w="140" w:type="dxa"/>
              <w:bottom w:w="120" w:type="dxa"/>
              <w:right w:w="140" w:type="dxa"/>
            </w:tcMar>
            <w:vAlign w:val="center"/>
          </w:tcPr>
          <w:p w14:paraId="40EB1471" w14:textId="77777777" w:rsidR="005578AA" w:rsidRDefault="005404B5">
            <w:r>
              <w:rPr>
                <w:color w:val="1F2A2E"/>
                <w:sz w:val="19"/>
                <w:szCs w:val="19"/>
              </w:rPr>
              <w:t>Tech Lead / Architect</w:t>
            </w:r>
          </w:p>
        </w:tc>
        <w:tc>
          <w:tcPr>
            <w:tcW w:w="2100" w:type="dxa"/>
            <w:tcMar>
              <w:top w:w="120" w:type="dxa"/>
              <w:left w:w="140" w:type="dxa"/>
              <w:bottom w:w="120" w:type="dxa"/>
              <w:right w:w="140" w:type="dxa"/>
            </w:tcMar>
            <w:vAlign w:val="center"/>
          </w:tcPr>
          <w:p w14:paraId="157C0181" w14:textId="77777777" w:rsidR="005578AA" w:rsidRDefault="005404B5">
            <w:pPr>
              <w:jc w:val="center"/>
            </w:pPr>
            <w:r>
              <w:rPr>
                <w:color w:val="1F2A2E"/>
                <w:sz w:val="19"/>
                <w:szCs w:val="19"/>
              </w:rPr>
              <w:t>Full-time</w:t>
            </w:r>
          </w:p>
        </w:tc>
        <w:tc>
          <w:tcPr>
            <w:tcW w:w="4650" w:type="dxa"/>
            <w:tcMar>
              <w:top w:w="120" w:type="dxa"/>
              <w:left w:w="140" w:type="dxa"/>
              <w:bottom w:w="120" w:type="dxa"/>
              <w:right w:w="140" w:type="dxa"/>
            </w:tcMar>
            <w:vAlign w:val="center"/>
          </w:tcPr>
          <w:p w14:paraId="51526C28" w14:textId="77777777" w:rsidR="005578AA" w:rsidRDefault="005404B5">
            <w:pPr>
              <w:jc w:val="center"/>
            </w:pPr>
            <w:r>
              <w:rPr>
                <w:color w:val="1F2A2E"/>
                <w:sz w:val="19"/>
                <w:szCs w:val="19"/>
              </w:rPr>
              <w:t>Architecture ownership, Claude Code-driven implementation, phase-gate sign-off</w:t>
            </w:r>
          </w:p>
        </w:tc>
      </w:tr>
      <w:tr w:rsidR="005578AA" w14:paraId="5D8B7308" w14:textId="77777777">
        <w:tblPrEx>
          <w:tblCellMar>
            <w:top w:w="0" w:type="dxa"/>
            <w:bottom w:w="0" w:type="dxa"/>
          </w:tblCellMar>
        </w:tblPrEx>
        <w:trPr>
          <w:cantSplit/>
        </w:trPr>
        <w:tc>
          <w:tcPr>
            <w:tcW w:w="2500" w:type="dxa"/>
            <w:shd w:val="clear" w:color="auto" w:fill="E4F1EE"/>
            <w:tcMar>
              <w:top w:w="120" w:type="dxa"/>
              <w:left w:w="140" w:type="dxa"/>
              <w:bottom w:w="120" w:type="dxa"/>
              <w:right w:w="140" w:type="dxa"/>
            </w:tcMar>
            <w:vAlign w:val="center"/>
          </w:tcPr>
          <w:p w14:paraId="0647FD3D" w14:textId="77777777" w:rsidR="005578AA" w:rsidRDefault="005404B5">
            <w:r>
              <w:rPr>
                <w:color w:val="1F2A2E"/>
                <w:sz w:val="19"/>
                <w:szCs w:val="19"/>
              </w:rPr>
              <w:t>Senior Engineer</w:t>
            </w:r>
          </w:p>
        </w:tc>
        <w:tc>
          <w:tcPr>
            <w:tcW w:w="2100" w:type="dxa"/>
            <w:shd w:val="clear" w:color="auto" w:fill="E4F1EE"/>
            <w:tcMar>
              <w:top w:w="120" w:type="dxa"/>
              <w:left w:w="140" w:type="dxa"/>
              <w:bottom w:w="120" w:type="dxa"/>
              <w:right w:w="140" w:type="dxa"/>
            </w:tcMar>
            <w:vAlign w:val="center"/>
          </w:tcPr>
          <w:p w14:paraId="12CAB0C1" w14:textId="77777777" w:rsidR="005578AA" w:rsidRDefault="005404B5">
            <w:pPr>
              <w:jc w:val="center"/>
            </w:pPr>
            <w:r>
              <w:rPr>
                <w:color w:val="1F2A2E"/>
                <w:sz w:val="19"/>
                <w:szCs w:val="19"/>
              </w:rPr>
              <w:t>Full-time</w:t>
            </w:r>
          </w:p>
        </w:tc>
        <w:tc>
          <w:tcPr>
            <w:tcW w:w="4650" w:type="dxa"/>
            <w:shd w:val="clear" w:color="auto" w:fill="E4F1EE"/>
            <w:tcMar>
              <w:top w:w="120" w:type="dxa"/>
              <w:left w:w="140" w:type="dxa"/>
              <w:bottom w:w="120" w:type="dxa"/>
              <w:right w:w="140" w:type="dxa"/>
            </w:tcMar>
            <w:vAlign w:val="center"/>
          </w:tcPr>
          <w:p w14:paraId="04EB9A4F" w14:textId="77777777" w:rsidR="005578AA" w:rsidRDefault="005404B5">
            <w:pPr>
              <w:jc w:val="center"/>
            </w:pPr>
            <w:r>
              <w:rPr>
                <w:color w:val="1F2A2E"/>
                <w:sz w:val="19"/>
                <w:szCs w:val="19"/>
              </w:rPr>
              <w:t>Agent implementation, connector work, code review</w:t>
            </w:r>
          </w:p>
        </w:tc>
      </w:tr>
      <w:tr w:rsidR="005578AA" w14:paraId="49A4276B" w14:textId="77777777">
        <w:tblPrEx>
          <w:tblCellMar>
            <w:top w:w="0" w:type="dxa"/>
            <w:bottom w:w="0" w:type="dxa"/>
          </w:tblCellMar>
        </w:tblPrEx>
        <w:trPr>
          <w:cantSplit/>
        </w:trPr>
        <w:tc>
          <w:tcPr>
            <w:tcW w:w="2500" w:type="dxa"/>
            <w:tcMar>
              <w:top w:w="120" w:type="dxa"/>
              <w:left w:w="140" w:type="dxa"/>
              <w:bottom w:w="120" w:type="dxa"/>
              <w:right w:w="140" w:type="dxa"/>
            </w:tcMar>
            <w:vAlign w:val="center"/>
          </w:tcPr>
          <w:p w14:paraId="49C8EBCC" w14:textId="77777777" w:rsidR="005578AA" w:rsidRDefault="005404B5">
            <w:r>
              <w:rPr>
                <w:color w:val="1F2A2E"/>
                <w:sz w:val="19"/>
                <w:szCs w:val="19"/>
              </w:rPr>
              <w:t>QA / Compliance Reviewer</w:t>
            </w:r>
          </w:p>
        </w:tc>
        <w:tc>
          <w:tcPr>
            <w:tcW w:w="2100" w:type="dxa"/>
            <w:tcMar>
              <w:top w:w="120" w:type="dxa"/>
              <w:left w:w="140" w:type="dxa"/>
              <w:bottom w:w="120" w:type="dxa"/>
              <w:right w:w="140" w:type="dxa"/>
            </w:tcMar>
            <w:vAlign w:val="center"/>
          </w:tcPr>
          <w:p w14:paraId="3C0ACE8C" w14:textId="77777777" w:rsidR="005578AA" w:rsidRDefault="005404B5">
            <w:pPr>
              <w:jc w:val="center"/>
            </w:pPr>
            <w:r>
              <w:rPr>
                <w:color w:val="1F2A2E"/>
                <w:sz w:val="19"/>
                <w:szCs w:val="19"/>
              </w:rPr>
              <w:t>Part-time, scaling up in Phase 3</w:t>
            </w:r>
          </w:p>
        </w:tc>
        <w:tc>
          <w:tcPr>
            <w:tcW w:w="4650" w:type="dxa"/>
            <w:tcMar>
              <w:top w:w="120" w:type="dxa"/>
              <w:left w:w="140" w:type="dxa"/>
              <w:bottom w:w="120" w:type="dxa"/>
              <w:right w:w="140" w:type="dxa"/>
            </w:tcMar>
            <w:vAlign w:val="center"/>
          </w:tcPr>
          <w:p w14:paraId="05A297BF" w14:textId="77777777" w:rsidR="005578AA" w:rsidRDefault="005404B5">
            <w:pPr>
              <w:jc w:val="center"/>
            </w:pPr>
            <w:r>
              <w:rPr>
                <w:color w:val="1F2A2E"/>
                <w:sz w:val="19"/>
                <w:szCs w:val="19"/>
              </w:rPr>
              <w:t>Correctness review on reconciliation/validation/TDS logic before any client-facing use</w:t>
            </w:r>
          </w:p>
        </w:tc>
      </w:tr>
      <w:tr w:rsidR="005578AA" w14:paraId="75E95163" w14:textId="77777777">
        <w:tblPrEx>
          <w:tblCellMar>
            <w:top w:w="0" w:type="dxa"/>
            <w:bottom w:w="0" w:type="dxa"/>
          </w:tblCellMar>
        </w:tblPrEx>
        <w:trPr>
          <w:cantSplit/>
        </w:trPr>
        <w:tc>
          <w:tcPr>
            <w:tcW w:w="2500" w:type="dxa"/>
            <w:shd w:val="clear" w:color="auto" w:fill="E4F1EE"/>
            <w:tcMar>
              <w:top w:w="120" w:type="dxa"/>
              <w:left w:w="140" w:type="dxa"/>
              <w:bottom w:w="120" w:type="dxa"/>
              <w:right w:w="140" w:type="dxa"/>
            </w:tcMar>
            <w:vAlign w:val="center"/>
          </w:tcPr>
          <w:p w14:paraId="39891414" w14:textId="77777777" w:rsidR="005578AA" w:rsidRDefault="005404B5">
            <w:r>
              <w:rPr>
                <w:color w:val="1F2A2E"/>
                <w:sz w:val="19"/>
                <w:szCs w:val="19"/>
              </w:rPr>
              <w:t>Project Manager</w:t>
            </w:r>
          </w:p>
        </w:tc>
        <w:tc>
          <w:tcPr>
            <w:tcW w:w="2100" w:type="dxa"/>
            <w:shd w:val="clear" w:color="auto" w:fill="E4F1EE"/>
            <w:tcMar>
              <w:top w:w="120" w:type="dxa"/>
              <w:left w:w="140" w:type="dxa"/>
              <w:bottom w:w="120" w:type="dxa"/>
              <w:right w:w="140" w:type="dxa"/>
            </w:tcMar>
            <w:vAlign w:val="center"/>
          </w:tcPr>
          <w:p w14:paraId="5AD425CC" w14:textId="77777777" w:rsidR="005578AA" w:rsidRDefault="005404B5">
            <w:pPr>
              <w:jc w:val="center"/>
            </w:pPr>
            <w:r>
              <w:rPr>
                <w:color w:val="1F2A2E"/>
                <w:sz w:val="19"/>
                <w:szCs w:val="19"/>
              </w:rPr>
              <w:t>Part-time</w:t>
            </w:r>
          </w:p>
        </w:tc>
        <w:tc>
          <w:tcPr>
            <w:tcW w:w="4650" w:type="dxa"/>
            <w:shd w:val="clear" w:color="auto" w:fill="E4F1EE"/>
            <w:tcMar>
              <w:top w:w="120" w:type="dxa"/>
              <w:left w:w="140" w:type="dxa"/>
              <w:bottom w:w="120" w:type="dxa"/>
              <w:right w:w="140" w:type="dxa"/>
            </w:tcMar>
            <w:vAlign w:val="center"/>
          </w:tcPr>
          <w:p w14:paraId="17BAD77B" w14:textId="77777777" w:rsidR="005578AA" w:rsidRDefault="005404B5">
            <w:pPr>
              <w:jc w:val="center"/>
            </w:pPr>
            <w:r>
              <w:rPr>
                <w:color w:val="1F2A2E"/>
                <w:sz w:val="19"/>
                <w:szCs w:val="19"/>
              </w:rPr>
              <w:t>Phase tracking, client communication, UAT coordination</w:t>
            </w:r>
          </w:p>
        </w:tc>
      </w:tr>
    </w:tbl>
    <w:p w14:paraId="12E43CA7" w14:textId="77777777" w:rsidR="005578AA" w:rsidRDefault="005404B5">
      <w:r>
        <w:br w:type="page"/>
      </w:r>
    </w:p>
    <w:p w14:paraId="58F7858B" w14:textId="77777777" w:rsidR="005578AA" w:rsidRDefault="005404B5">
      <w:pPr>
        <w:pStyle w:val="Heading1"/>
        <w:pBdr>
          <w:bottom w:val="single" w:sz="8" w:space="4" w:color="0F6B5C"/>
        </w:pBdr>
        <w:spacing w:before="380" w:after="160"/>
      </w:pPr>
      <w:r>
        <w:rPr>
          <w:b/>
          <w:bCs/>
          <w:color w:val="0F6B5C"/>
          <w:sz w:val="28"/>
          <w:szCs w:val="28"/>
        </w:rPr>
        <w:t>8. Investment (AI-Accelerated Development)</w:t>
      </w:r>
    </w:p>
    <w:p w:rsidR="005578AA" w:rsidRDefault="005404B5">
      <w:pPr>
        <w:spacing w:after="160" w:line="300" w:lineRule="auto"/>
      </w:pPr>
      <w:r>
        <w:rPr>
          <w:color w:val="1F2A2E"/>
          <w:sz w:val="21"/>
          <w:szCs w:val="21"/>
        </w:rPr>
        <w:t xml:space="preserve">The development engagement is offered at a fixed price of ₹15,00,000 (Rupees Fifteen Lakh only), exclusive of GST. This covers all work in Phases 0–4 (Section 4), UAT, production go-live, training, and the 120-day post-go-live warranty.</w:t>
      </w:r>
      <w:proofErr w:type="spellStart"/>
      <w:proofErr w:type="spellEnd"/>
    </w:p>
    <w:p w14:paraId="79B9AF0D" w14:textId="77777777" w:rsidR="005578AA" w:rsidRDefault="005404B5">
      <w:pPr>
        <w:pStyle w:val="Heading2"/>
        <w:spacing w:before="260" w:after="100"/>
      </w:pPr>
      <w:r>
        <w:rPr>
          <w:b/>
          <w:bCs/>
          <w:color w:val="1F2A2E"/>
          <w:sz w:val="22"/>
          <w:szCs w:val="22"/>
        </w:rPr>
        <w:t>Payment schedule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150"/>
        <w:gridCol w:w="2000"/>
      </w:tblGrid>
      <w:tr w:rsidR="005578AA">
        <w:tblPrEx>
          <w:tblCellMar>
            <w:top w:w="0" w:type="dxa"/>
            <w:bottom w:w="0" w:type="dxa"/>
          </w:tblCellMar>
        </w:tblPrEx>
        <w:trPr>
          <w:cantSplit/>
          <w:tblHeader/>
        </w:trPr>
        <w:tc>
          <w:tcPr>
            <w:tcW w:w="2200" w:type="dxa"/>
            <w:shd w:val="clear" w:color="auto" w:fill="0F6B5C"/>
            <w:tcMar>
              <w:top w:w="120" w:type="dxa"/>
              <w:left w:w="140" w:type="dxa"/>
              <w:bottom w:w="120" w:type="dxa"/>
              <w:right w:w="140" w:type="dxa"/>
            </w:tcMar>
            <w:vAlign w:val="center"/>
          </w:tcPr>
          <w:p w:rsidR="005578AA" w:rsidRDefault="005404B5">
            <w:r>
              <w:rPr>
                <w:b/>
                <w:bCs/>
                <w:color w:val="FFFFFF"/>
                <w:sz w:val="19"/>
                <w:szCs w:val="19"/>
              </w:rPr>
              <w:t xml:space="preserve">Milestone</w:t>
            </w:r>
          </w:p>
        </w:tc>
        <w:tc>
          <w:tcPr>
            <w:tcW w:w="5150" w:type="dxa"/>
            <w:shd w:val="clear" w:color="auto" w:fill="0F6B5C"/>
            <w:tcMar>
              <w:top w:w="120" w:type="dxa"/>
              <w:left w:w="140" w:type="dxa"/>
              <w:bottom w:w="120" w:type="dxa"/>
              <w:right w:w="140" w:type="dxa"/>
            </w:tcMar>
            <w:vAlign w:val="center"/>
          </w:tcPr>
          <w:p w:rsidR="005578AA" w:rsidRDefault="005404B5">
            <w:pPr>
              <w:jc w:val="center"/>
            </w:pPr>
            <w:r>
              <w:rPr>
                <w:b/>
                <w:bCs/>
                <w:color w:val="FFFFFF"/>
                <w:sz w:val="19"/>
                <w:szCs w:val="19"/>
              </w:rPr>
              <w:t xml:space="preserve">Trigger</w:t>
            </w:r>
          </w:p>
        </w:tc>
        <w:tc>
          <w:tcPr>
            <w:tcW w:w="2000" w:type="dxa"/>
            <w:shd w:val="clear" w:color="auto" w:fill="0F6B5C"/>
            <w:tcMar>
              <w:top w:w="120" w:type="dxa"/>
              <w:left w:w="140" w:type="dxa"/>
              <w:bottom w:w="120" w:type="dxa"/>
              <w:right w:w="140" w:type="dxa"/>
            </w:tcMar>
            <w:vAlign w:val="center"/>
          </w:tcPr>
          <w:p w:rsidR="005578AA" w:rsidRDefault="005404B5">
            <w:pPr>
              <w:jc w:val="center"/>
            </w:pPr>
            <w:r>
              <w:rPr>
                <w:b/>
                <w:bCs/>
                <w:color w:val="FFFFFF"/>
                <w:sz w:val="19"/>
                <w:szCs w:val="19"/>
              </w:rPr>
              <w:t xml:space="preserve">Amount</w:t>
            </w:r>
          </w:p>
        </w:tc>
      </w:tr>
      <w:tr w:rsidR="005578AA">
        <w:tblPrEx>
          <w:tblCellMar>
            <w:top w:w="0" w:type="dxa"/>
            <w:bottom w:w="0" w:type="dxa"/>
          </w:tblCellMar>
        </w:tblPrEx>
        <w:trPr>
          <w:cantSplit/>
        </w:trPr>
        <w:tc>
          <w:tcPr>
            <w:tcW w:w="2200" w:type="dxa"/>
            <w:tcMar>
              <w:top w:w="120" w:type="dxa"/>
              <w:left w:w="140" w:type="dxa"/>
              <w:bottom w:w="120" w:type="dxa"/>
              <w:right w:w="140" w:type="dxa"/>
            </w:tcMar>
            <w:vAlign w:val="center"/>
          </w:tcPr>
          <w:p w:rsidR="005578AA" w:rsidRDefault="005404B5">
            <w:r>
              <w:rPr>
                <w:color w:val="1F2A2E"/>
                <w:sz w:val="19"/>
                <w:szCs w:val="19"/>
              </w:rPr>
              <w:t xml:space="preserve">M1: Acceptance</w:t>
            </w:r>
          </w:p>
        </w:tc>
        <w:tc>
          <w:tcPr>
            <w:tcW w:w="5150" w:type="dxa"/>
            <w:tcMar>
              <w:top w:w="120" w:type="dxa"/>
              <w:left w:w="140" w:type="dxa"/>
              <w:bottom w:w="120" w:type="dxa"/>
              <w:right w:w="140" w:type="dxa"/>
            </w:tcMar>
            <w:vAlign w:val="center"/>
          </w:tcPr>
          <w:p w:rsidR="005578AA" w:rsidRDefault="005404B5">
            <w:pPr>
              <w:jc w:val="center"/>
            </w:pPr>
            <w:r>
              <w:rPr>
                <w:color w:val="1F2A2E"/>
                <w:sz w:val="19"/>
                <w:szCs w:val="19"/>
              </w:rPr>
              <w:t xml:space="preserve">Signed acceptance of this proposal</w:t>
            </w:r>
          </w:p>
        </w:tc>
        <w:tc>
          <w:tcPr>
            <w:tcW w:w="2000" w:type="dxa"/>
            <w:tcMar>
              <w:top w:w="120" w:type="dxa"/>
              <w:left w:w="140" w:type="dxa"/>
              <w:bottom w:w="120" w:type="dxa"/>
              <w:right w:w="140" w:type="dxa"/>
            </w:tcMar>
            <w:vAlign w:val="center"/>
          </w:tcPr>
          <w:p w:rsidR="005578AA" w:rsidRDefault="005404B5">
            <w:pPr>
              <w:jc w:val="center"/>
            </w:pPr>
            <w:r>
              <w:rPr>
                <w:color w:val="1F2A2E"/>
                <w:sz w:val="19"/>
                <w:szCs w:val="19"/>
              </w:rPr>
              <w:t xml:space="preserve">₹2,00,000</w:t>
            </w:r>
          </w:p>
        </w:tc>
      </w:tr>
      <w:tr w:rsidR="005578AA">
        <w:tblPrEx>
          <w:tblCellMar>
            <w:top w:w="0" w:type="dxa"/>
            <w:bottom w:w="0" w:type="dxa"/>
          </w:tblCellMar>
        </w:tblPrEx>
        <w:trPr>
          <w:cantSplit/>
        </w:trPr>
        <w:tc>
          <w:tcPr>
            <w:tcW w:w="2200" w:type="dxa"/>
            <w:tcMar>
              <w:top w:w="120" w:type="dxa"/>
              <w:left w:w="140" w:type="dxa"/>
              <w:bottom w:w="120" w:type="dxa"/>
              <w:right w:w="140" w:type="dxa"/>
            </w:tcMar>
            <w:vAlign w:val="center"/>
          </w:tcPr>
          <w:p w:rsidR="005578AA" w:rsidRDefault="005404B5">
            <w:r>
              <w:rPr>
                <w:color w:val="1F2A2E"/>
                <w:sz w:val="19"/>
                <w:szCs w:val="19"/>
              </w:rPr>
              <w:t xml:space="preserve">M2: UAT deployment</w:t>
            </w:r>
          </w:p>
        </w:tc>
        <w:tc>
          <w:tcPr>
            <w:tcW w:w="5150" w:type="dxa"/>
            <w:tcMar>
              <w:top w:w="120" w:type="dxa"/>
              <w:left w:w="140" w:type="dxa"/>
              <w:bottom w:w="120" w:type="dxa"/>
              <w:right w:w="140" w:type="dxa"/>
            </w:tcMar>
            <w:vAlign w:val="center"/>
          </w:tcPr>
          <w:p w:rsidR="005578AA" w:rsidRDefault="005404B5">
            <w:pPr>
              <w:jc w:val="center"/>
            </w:pPr>
            <w:r>
              <w:rPr>
                <w:color w:val="1F2A2E"/>
                <w:sz w:val="19"/>
                <w:szCs w:val="19"/>
              </w:rPr>
              <w:t xml:space="preserve">Platform deployed to the UAT environment with the full Phase 0–4 scope available for client testing</w:t>
            </w:r>
          </w:p>
        </w:tc>
        <w:tc>
          <w:tcPr>
            <w:tcW w:w="2000" w:type="dxa"/>
            <w:tcMar>
              <w:top w:w="120" w:type="dxa"/>
              <w:left w:w="140" w:type="dxa"/>
              <w:bottom w:w="120" w:type="dxa"/>
              <w:right w:w="140" w:type="dxa"/>
            </w:tcMar>
            <w:vAlign w:val="center"/>
          </w:tcPr>
          <w:p w:rsidR="005578AA" w:rsidRDefault="005404B5">
            <w:pPr>
              <w:jc w:val="center"/>
            </w:pPr>
            <w:r>
              <w:rPr>
                <w:color w:val="1F2A2E"/>
                <w:sz w:val="19"/>
                <w:szCs w:val="19"/>
              </w:rPr>
              <w:t xml:space="preserve">₹4,00,000</w:t>
            </w:r>
          </w:p>
        </w:tc>
      </w:tr>
      <w:tr w:rsidR="005578AA">
        <w:tblPrEx>
          <w:tblCellMar>
            <w:top w:w="0" w:type="dxa"/>
            <w:bottom w:w="0" w:type="dxa"/>
          </w:tblCellMar>
        </w:tblPrEx>
        <w:trPr>
          <w:cantSplit/>
        </w:trPr>
        <w:tc>
          <w:tcPr>
            <w:tcW w:w="2200" w:type="dxa"/>
            <w:tcMar>
              <w:top w:w="120" w:type="dxa"/>
              <w:left w:w="140" w:type="dxa"/>
              <w:bottom w:w="120" w:type="dxa"/>
              <w:right w:w="140" w:type="dxa"/>
            </w:tcMar>
            <w:vAlign w:val="center"/>
          </w:tcPr>
          <w:p w:rsidR="005578AA" w:rsidRDefault="005404B5">
            <w:r>
              <w:rPr>
                <w:color w:val="1F2A2E"/>
                <w:sz w:val="19"/>
                <w:szCs w:val="19"/>
              </w:rPr>
              <w:t xml:space="preserve">M3: Go-live</w:t>
            </w:r>
          </w:p>
        </w:tc>
        <w:tc>
          <w:tcPr>
            <w:tcW w:w="5150" w:type="dxa"/>
            <w:tcMar>
              <w:top w:w="120" w:type="dxa"/>
              <w:left w:w="140" w:type="dxa"/>
              <w:bottom w:w="120" w:type="dxa"/>
              <w:right w:w="140" w:type="dxa"/>
            </w:tcMar>
            <w:vAlign w:val="center"/>
          </w:tcPr>
          <w:p w:rsidR="005578AA" w:rsidRDefault="005404B5">
            <w:pPr>
              <w:jc w:val="center"/>
            </w:pPr>
            <w:r>
              <w:rPr>
                <w:color w:val="1F2A2E"/>
                <w:sz w:val="19"/>
                <w:szCs w:val="19"/>
              </w:rPr>
              <w:t xml:space="preserve">Production cutover, with the platform live for the practice's use</w:t>
            </w:r>
          </w:p>
        </w:tc>
        <w:tc>
          <w:tcPr>
            <w:tcW w:w="2000" w:type="dxa"/>
            <w:tcMar>
              <w:top w:w="120" w:type="dxa"/>
              <w:left w:w="140" w:type="dxa"/>
              <w:bottom w:w="120" w:type="dxa"/>
              <w:right w:w="140" w:type="dxa"/>
            </w:tcMar>
            <w:vAlign w:val="center"/>
          </w:tcPr>
          <w:p w:rsidR="005578AA" w:rsidRDefault="005404B5">
            <w:pPr>
              <w:jc w:val="center"/>
            </w:pPr>
            <w:r>
              <w:rPr>
                <w:color w:val="1F2A2E"/>
                <w:sz w:val="19"/>
                <w:szCs w:val="19"/>
              </w:rPr>
              <w:t xml:space="preserve">₹4,00,000</w:t>
            </w:r>
          </w:p>
        </w:tc>
      </w:tr>
      <w:tr w:rsidR="005578AA">
        <w:tblPrEx>
          <w:tblCellMar>
            <w:top w:w="0" w:type="dxa"/>
            <w:bottom w:w="0" w:type="dxa"/>
          </w:tblCellMar>
        </w:tblPrEx>
        <w:trPr>
          <w:cantSplit/>
        </w:trPr>
        <w:tc>
          <w:tcPr>
            <w:tcW w:w="2200" w:type="dxa"/>
            <w:tcMar>
              <w:top w:w="120" w:type="dxa"/>
              <w:left w:w="140" w:type="dxa"/>
              <w:bottom w:w="120" w:type="dxa"/>
              <w:right w:w="140" w:type="dxa"/>
            </w:tcMar>
            <w:vAlign w:val="center"/>
          </w:tcPr>
          <w:p w:rsidR="005578AA" w:rsidRDefault="005404B5">
            <w:r>
              <w:rPr>
                <w:color w:val="1F2A2E"/>
                <w:sz w:val="19"/>
                <w:szCs w:val="19"/>
              </w:rPr>
              <w:t xml:space="preserve">M4: Stabilisation close</w:t>
            </w:r>
          </w:p>
        </w:tc>
        <w:tc>
          <w:tcPr>
            <w:tcW w:w="5150" w:type="dxa"/>
            <w:tcMar>
              <w:top w:w="120" w:type="dxa"/>
              <w:left w:w="140" w:type="dxa"/>
              <w:bottom w:w="120" w:type="dxa"/>
              <w:right w:w="140" w:type="dxa"/>
            </w:tcMar>
            <w:vAlign w:val="center"/>
          </w:tcPr>
          <w:p w:rsidR="005578AA" w:rsidRDefault="005404B5">
            <w:pPr>
              <w:jc w:val="center"/>
            </w:pPr>
            <w:r>
              <w:rPr>
                <w:color w:val="1F2A2E"/>
                <w:sz w:val="19"/>
                <w:szCs w:val="19"/>
              </w:rPr>
              <w:t xml:space="preserve">30 days after go-live</w:t>
            </w:r>
          </w:p>
        </w:tc>
        <w:tc>
          <w:tcPr>
            <w:tcW w:w="2000" w:type="dxa"/>
            <w:tcMar>
              <w:top w:w="120" w:type="dxa"/>
              <w:left w:w="140" w:type="dxa"/>
              <w:bottom w:w="120" w:type="dxa"/>
              <w:right w:w="140" w:type="dxa"/>
            </w:tcMar>
            <w:vAlign w:val="center"/>
          </w:tcPr>
          <w:p w:rsidR="005578AA" w:rsidRDefault="005404B5">
            <w:pPr>
              <w:jc w:val="center"/>
            </w:pPr>
            <w:r>
              <w:rPr>
                <w:color w:val="1F2A2E"/>
                <w:sz w:val="19"/>
                <w:szCs w:val="19"/>
              </w:rPr>
              <w:t xml:space="preserve">₹5,00,000</w:t>
            </w:r>
          </w:p>
        </w:tc>
      </w:tr>
      <w:tr w:rsidR="005578AA">
        <w:tblPrEx>
          <w:tblCellMar>
            <w:top w:w="0" w:type="dxa"/>
            <w:bottom w:w="0" w:type="dxa"/>
          </w:tblCellMar>
        </w:tblPrEx>
        <w:trPr>
          <w:cantSplit/>
        </w:trPr>
        <w:tc>
          <w:tcPr>
            <w:tcW w:w="2200" w:type="dxa"/>
            <w:tcMar>
              <w:top w:w="120" w:type="dxa"/>
              <w:left w:w="140" w:type="dxa"/>
              <w:bottom w:w="120" w:type="dxa"/>
              <w:right w:w="140" w:type="dxa"/>
            </w:tcMar>
            <w:vAlign w:val="center"/>
          </w:tcPr>
          <w:p w:rsidR="005578AA" w:rsidRDefault="005404B5">
            <w:r>
              <w:rPr>
                <w:b/>
                <w:color w:val="1F2A2E"/>
                <w:sz w:val="19"/>
                <w:szCs w:val="19"/>
              </w:rPr>
              <w:t xml:space="preserve">Total</w:t>
            </w:r>
          </w:p>
        </w:tc>
        <w:tc>
          <w:tcPr>
            <w:tcW w:w="5150" w:type="dxa"/>
            <w:tcMar>
              <w:top w:w="120" w:type="dxa"/>
              <w:left w:w="140" w:type="dxa"/>
              <w:bottom w:w="120" w:type="dxa"/>
              <w:right w:w="140" w:type="dxa"/>
            </w:tcMar>
            <w:vAlign w:val="center"/>
          </w:tcPr>
          <w:p w:rsidR="005578AA" w:rsidRDefault="005404B5">
            <w:pPr>
              <w:jc w:val="center"/>
            </w:pPr>
            <w:r>
              <w:rPr>
                <w:b/>
                <w:color w:val="1F2A2E"/>
                <w:sz w:val="19"/>
                <w:szCs w:val="19"/>
              </w:rPr>
              <w:t xml:space="preserve"/>
            </w:r>
          </w:p>
        </w:tc>
        <w:tc>
          <w:tcPr>
            <w:tcW w:w="2000" w:type="dxa"/>
            <w:tcMar>
              <w:top w:w="120" w:type="dxa"/>
              <w:left w:w="140" w:type="dxa"/>
              <w:bottom w:w="120" w:type="dxa"/>
              <w:right w:w="140" w:type="dxa"/>
            </w:tcMar>
            <w:vAlign w:val="center"/>
          </w:tcPr>
          <w:p w:rsidR="005578AA" w:rsidRDefault="005404B5">
            <w:pPr>
              <w:jc w:val="center"/>
            </w:pPr>
            <w:r>
              <w:rPr>
                <w:b/>
                <w:color w:val="1F2A2E"/>
                <w:sz w:val="19"/>
                <w:szCs w:val="19"/>
              </w:rPr>
              <w:t xml:space="preserve">₹15,00,000</w:t>
            </w:r>
          </w:p>
        </w:tc>
      </w:tr>
    </w:tbl>
    <w:p w:rsidR="005578AA" w:rsidRDefault="005404B5">
      <w:pPr>
        <w:pStyle w:val="Heading2"/>
        <w:spacing w:before="260" w:after="100"/>
      </w:pPr>
      <w:r>
        <w:rPr>
          <w:b/>
          <w:bCs/>
          <w:color w:val="1F2A2E"/>
          <w:sz w:val="22"/>
          <w:szCs w:val="22"/>
        </w:rPr>
        <w:t xml:space="preserve">Payment terms</w:t>
      </w:r>
    </w:p>
    <w:p w:rsidR="005578AA" w:rsidRDefault="005404B5">
      <w:pPr>
        <w:pStyle w:val="ListParagraph"/>
        <w:numPr>
          <w:ilvl w:val="0"/>
          <w:numId w:val="1"/>
        </w:numPr>
        <w:spacing w:after="90" w:line="280" w:lineRule="auto"/>
      </w:pPr>
      <w:r>
        <w:rPr>
          <w:color w:val="1F2A2E"/>
          <w:sz w:val="21"/>
          <w:szCs w:val="21"/>
        </w:rPr>
        <w:t xml:space="preserve">Each milestone is invoiced when it is achieved and is payable within 7 days of the invoice date. GST at the prevailing rate (currently 18%) is charged in addition.</w:t>
      </w:r>
    </w:p>
    <w:p w:rsidR="005578AA" w:rsidRDefault="005404B5">
      <w:pPr>
        <w:pStyle w:val="ListParagraph"/>
        <w:numPr>
          <w:ilvl w:val="0"/>
          <w:numId w:val="1"/>
        </w:numPr>
        <w:spacing w:after="90" w:line="280" w:lineRule="auto"/>
      </w:pPr>
      <w:r>
        <w:rPr>
          <w:color w:val="1F2A2E"/>
          <w:sz w:val="21"/>
          <w:szCs w:val="21"/>
        </w:rPr>
        <w:t xml:space="preserve">UAT acceptance. The client has 10 business days from UAT deployment to test against the agreed acceptance criteria. Only Severity 1 or Severity 2 defects (Section 10.1) block acceptance. Severity 3 and 4 defects are logged and fixed during the warranty period.</w:t>
      </w:r>
    </w:p>
    <w:p w:rsidR="005578AA" w:rsidRDefault="005404B5">
      <w:pPr>
        <w:pStyle w:val="ListParagraph"/>
        <w:numPr>
          <w:ilvl w:val="0"/>
          <w:numId w:val="1"/>
        </w:numPr>
        <w:spacing w:after="90" w:line="280" w:lineRule="auto"/>
      </w:pPr>
      <w:r>
        <w:rPr>
          <w:color w:val="1F2A2E"/>
          <w:sz w:val="21"/>
          <w:szCs w:val="21"/>
        </w:rPr>
        <w:t xml:space="preserve">M4 release. The M4 payment is released 30 days after go-live, provided no Severity 1 defect attributable to the development team remains open.</w:t>
      </w:r>
    </w:p>
    <w:p w:rsidR="005578AA" w:rsidRDefault="005404B5">
      <w:pPr>
        <w:pStyle w:val="ListParagraph"/>
        <w:numPr>
          <w:ilvl w:val="0"/>
          <w:numId w:val="1"/>
        </w:numPr>
        <w:spacing w:after="90" w:line="280" w:lineRule="auto"/>
      </w:pPr>
      <w:r>
        <w:rPr>
          <w:color w:val="1F2A2E"/>
          <w:sz w:val="21"/>
          <w:szCs w:val="21"/>
        </w:rPr>
        <w:t xml:space="preserve">Schedule changes. If UAT or go-live is delayed for reasons outside the development team's control, both parties will agree a revised date in good faith. Milestone invoicing will be aligned to that revised date.</w:t>
      </w:r>
    </w:p>
    <w:p w:rsidR="005578AA" w:rsidRDefault="005404B5">
      <w:pPr>
        <w:pStyle w:val="ListParagraph"/>
        <w:numPr>
          <w:ilvl w:val="0"/>
          <w:numId w:val="1"/>
        </w:numPr>
        <w:spacing w:after="90" w:line="280" w:lineRule="auto"/>
      </w:pPr>
      <w:r>
        <w:rPr>
          <w:color w:val="1F2A2E"/>
          <w:sz w:val="21"/>
          <w:szCs w:val="21"/>
        </w:rPr>
        <w:t xml:space="preserve">Change requests. Approved change requests (Section 10.6) are priced separately and do not alter the milestone amounts above.</w:t>
      </w:r>
    </w:p>
    <w:p w:rsidR="005578AA" w:rsidRDefault="005404B5">
      <w:pPr>
        <w:pStyle w:val="ListParagraph"/>
        <w:numPr>
          <w:ilvl w:val="0"/>
          <w:numId w:val="1"/>
        </w:numPr>
        <w:spacing w:after="90" w:line="280" w:lineRule="auto"/>
      </w:pPr>
      <w:r>
        <w:rPr>
          <w:color w:val="1F2A2E"/>
          <w:sz w:val="21"/>
          <w:szCs w:val="21"/>
        </w:rPr>
        <w:t xml:space="preserve">Licence and ownership. Covered in Section 10.7.</w:t>
      </w:r>
    </w:p>
    <w:p w14:paraId="788F3735" w14:textId="77777777" w:rsidR="005578AA" w:rsidRDefault="005404B5">
      <w:pPr>
        <w:pStyle w:val="Heading2"/>
        <w:spacing w:before="260" w:after="100"/>
      </w:pPr>
      <w:r>
        <w:rPr>
          <w:b/>
          <w:bCs/>
          <w:color w:val="1F2A2E"/>
          <w:sz w:val="22"/>
          <w:szCs w:val="22"/>
        </w:rPr>
        <w:t>Not included in this investment</w:t>
      </w:r>
    </w:p>
    <w:p w:rsidR="005578AA" w:rsidRDefault="005404B5">
      <w:pPr>
        <w:pStyle w:val="ListParagraph"/>
        <w:numPr>
          <w:ilvl w:val="0"/>
          <w:numId w:val="1"/>
        </w:numPr>
        <w:spacing w:after="90" w:line="280" w:lineRule="auto"/>
      </w:pPr>
      <w:r>
        <w:rPr>
          <w:color w:val="1F2A2E"/>
          <w:sz w:val="21"/>
          <w:szCs w:val="21"/>
        </w:rPr>
        <w:t xml:space="preserve">Recurring hosting, database, backup, OCR, and AI/LLM usage costs, detailed in Section 9</w:t>
      </w:r>
    </w:p>
    <w:p w:rsidR="005578AA" w:rsidRDefault="005404B5">
      <w:pPr>
        <w:pStyle w:val="ListParagraph"/>
        <w:numPr>
          <w:ilvl w:val="0"/>
          <w:numId w:val="1"/>
        </w:numPr>
        <w:spacing w:after="90" w:line="280" w:lineRule="auto"/>
      </w:pPr>
      <w:r>
        <w:rPr>
          <w:color w:val="1F2A2E"/>
          <w:sz w:val="21"/>
          <w:szCs w:val="21"/>
        </w:rPr>
        <w:t xml:space="preserve">Zoho/Tally license fees, which remain the client's existing subscription</w:t>
      </w:r>
    </w:p>
    <w:p w:rsidR="005578AA" w:rsidRDefault="005404B5">
      <w:pPr>
        <w:pStyle w:val="ListParagraph"/>
        <w:numPr>
          <w:ilvl w:val="0"/>
          <w:numId w:val="1"/>
        </w:numPr>
        <w:spacing w:after="90" w:line="280" w:lineRule="auto"/>
      </w:pPr>
      <w:r>
        <w:rPr>
          <w:color w:val="1F2A2E"/>
          <w:sz w:val="21"/>
          <w:szCs w:val="21"/>
        </w:rPr>
        <w:t xml:space="preserve">Support after the 120-day warranty period, available on request under a separate agreement</w:t>
      </w:r>
    </w:p>
    <w:p w:rsidR="005578AA" w:rsidRDefault="005404B5">
      <w:pPr>
        <w:pStyle w:val="ListParagraph"/>
        <w:numPr>
          <w:ilvl w:val="0"/>
          <w:numId w:val="1"/>
        </w:numPr>
        <w:spacing w:after="90" w:line="280" w:lineRule="auto"/>
      </w:pPr>
      <w:r>
        <w:rPr>
          <w:color w:val="1F2A2E"/>
          <w:sz w:val="21"/>
          <w:szCs w:val="21"/>
        </w:rPr>
        <w:t xml:space="preserve">Items listed under Out of Scope (Section 12)</w:t>
      </w:r>
    </w:p>
    <w:p w14:paraId="167820B1" w14:textId="77777777" w:rsidR="005578AA" w:rsidRDefault="005404B5">
      <w:r>
        <w:br w:type="page"/>
      </w:r>
    </w:p>
    <w:p w14:paraId="198AD728" w14:textId="77777777" w:rsidR="005578AA" w:rsidRDefault="005404B5">
      <w:pPr>
        <w:pStyle w:val="Heading1"/>
        <w:pBdr>
          <w:bottom w:val="single" w:sz="8" w:space="4" w:color="0F6B5C"/>
        </w:pBdr>
        <w:spacing w:before="380" w:after="160"/>
      </w:pPr>
      <w:r>
        <w:rPr>
          <w:b/>
          <w:bCs/>
          <w:color w:val="0F6B5C"/>
          <w:sz w:val="28"/>
          <w:szCs w:val="28"/>
        </w:rPr>
        <w:t>9. Recurring Operating Costs (Post-Launch)</w:t>
      </w:r>
    </w:p>
    <w:p w14:paraId="7E6CDD7D" w14:textId="77777777" w:rsidR="005578AA" w:rsidRDefault="005404B5">
      <w:pPr>
        <w:spacing w:after="160" w:line="300" w:lineRule="auto"/>
      </w:pPr>
      <w:r>
        <w:rPr>
          <w:color w:val="1F2A2E"/>
          <w:sz w:val="21"/>
          <w:szCs w:val="21"/>
        </w:rPr>
        <w:t xml:space="preserve">The investment in Section 8 is a one-time build cost. Running CAOS in production carries its own monthly cost — hosting, database, storage, document processing and AI/LLM usage — which is separate from and continues after the development engagement. CAOS is deployed single-tenant on AWS in the Mumbai (ap-south-1) region, one dedicated environment per practice, so these figures are the cost of one firm's environment and do not change if other firms are later hosted. Document OCR runs within the practice's own AWS environment rather than through a third-party extraction service. The figures below use AWS's published ap-south-1 rates (September 2026) and reflect the LLM cost treatment adopted in ADR 0012.</w:t>
      </w:r>
    </w:p>
    <w:p w14:paraId="3179FAF3" w14:textId="77777777" w:rsidR="005578AA" w:rsidRDefault="005404B5">
      <w:pPr>
        <w:pStyle w:val="Heading2"/>
        <w:spacing w:before="260" w:after="100"/>
      </w:pPr>
      <w:r>
        <w:rPr>
          <w:b/>
          <w:bCs/>
          <w:color w:val="1F2A2E"/>
          <w:sz w:val="22"/>
          <w:szCs w:val="22"/>
        </w:rPr>
        <w:t xml:space="preserve">Fixed infrastructure, per practice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550"/>
        <w:gridCol w:w="2200"/>
      </w:tblGrid>
      <w:tr w:rsidR="005578AA">
        <w:tblPrEx>
          <w:tblCellMar>
            <w:top w:w="0" w:type="dxa"/>
            <w:bottom w:w="0" w:type="dxa"/>
          </w:tblCellMar>
        </w:tblPrEx>
        <w:trPr>
          <w:cantSplit/>
          <w:tblHeader/>
        </w:trPr>
        <w:tc>
          <w:tcPr>
            <w:tcW w:w="2600" w:type="dxa"/>
            <w:shd w:val="clear" w:color="auto" w:fill="0F6B5C"/>
            <w:tcMar>
              <w:top w:w="120" w:type="dxa"/>
              <w:left w:w="140" w:type="dxa"/>
              <w:bottom w:w="120" w:type="dxa"/>
              <w:right w:w="140" w:type="dxa"/>
            </w:tcMar>
            <w:vAlign w:val="center"/>
          </w:tcPr>
          <w:p w:rsidR="005578AA" w:rsidRDefault="005404B5">
            <w:r>
              <w:rPr>
                <w:b/>
                <w:bCs/>
                <w:color w:val="FFFFFF"/>
                <w:sz w:val="19"/>
                <w:szCs w:val="19"/>
              </w:rPr>
              <w:t xml:space="preserve">Component</w:t>
            </w:r>
          </w:p>
        </w:tc>
        <w:tc>
          <w:tcPr>
            <w:tcW w:w="4550" w:type="dxa"/>
            <w:shd w:val="clear" w:color="auto" w:fill="0F6B5C"/>
            <w:tcMar>
              <w:top w:w="120" w:type="dxa"/>
              <w:left w:w="140" w:type="dxa"/>
              <w:bottom w:w="120" w:type="dxa"/>
              <w:right w:w="140" w:type="dxa"/>
            </w:tcMar>
            <w:vAlign w:val="center"/>
          </w:tcPr>
          <w:p w:rsidR="005578AA" w:rsidRDefault="005404B5">
            <w:pPr>
              <w:jc w:val="center"/>
            </w:pPr>
            <w:r>
              <w:rPr>
                <w:b/>
                <w:bCs/>
                <w:color w:val="FFFFFF"/>
                <w:sz w:val="19"/>
                <w:szCs w:val="19"/>
              </w:rPr>
              <w:t xml:space="preserve">Basis</w:t>
            </w:r>
          </w:p>
        </w:tc>
        <w:tc>
          <w:tcPr>
            <w:tcW w:w="2200" w:type="dxa"/>
            <w:shd w:val="clear" w:color="auto" w:fill="0F6B5C"/>
            <w:tcMar>
              <w:top w:w="120" w:type="dxa"/>
              <w:left w:w="140" w:type="dxa"/>
              <w:bottom w:w="120" w:type="dxa"/>
              <w:right w:w="140" w:type="dxa"/>
            </w:tcMar>
            <w:vAlign w:val="center"/>
          </w:tcPr>
          <w:p w:rsidR="005578AA" w:rsidRDefault="005404B5">
            <w:pPr>
              <w:jc w:val="center"/>
            </w:pPr>
            <w:r>
              <w:rPr>
                <w:b/>
                <w:bCs/>
                <w:color w:val="FFFFFF"/>
                <w:sz w:val="19"/>
                <w:szCs w:val="19"/>
              </w:rPr>
              <w:t xml:space="preserve">Monthly (₹)</w:t>
            </w:r>
          </w:p>
        </w:tc>
      </w:tr>
      <w:tr w:rsidR="005578AA">
        <w:tblPrEx>
          <w:tblCellMar>
            <w:top w:w="0" w:type="dxa"/>
            <w:bottom w:w="0" w:type="dxa"/>
          </w:tblCellMar>
        </w:tblPrEx>
        <w:trPr>
          <w:cantSplit/>
        </w:trPr>
        <w:tc>
          <w:tcPr>
            <w:tcW w:w="2600" w:type="dxa"/>
            <w:tcMar>
              <w:top w:w="120" w:type="dxa"/>
              <w:left w:w="140" w:type="dxa"/>
              <w:bottom w:w="120" w:type="dxa"/>
              <w:right w:w="140" w:type="dxa"/>
            </w:tcMar>
            <w:vAlign w:val="center"/>
          </w:tcPr>
          <w:p w:rsidR="005578AA" w:rsidRDefault="005404B5">
            <w:r>
              <w:rPr>
                <w:color w:val="1F2A2E"/>
                <w:sz w:val="19"/>
                <w:szCs w:val="19"/>
              </w:rPr>
              <w:t xml:space="preserve">Application compute</w:t>
            </w:r>
          </w:p>
        </w:tc>
        <w:tc>
          <w:tcPr>
            <w:tcW w:w="4550" w:type="dxa"/>
            <w:tcMar>
              <w:top w:w="120" w:type="dxa"/>
              <w:left w:w="140" w:type="dxa"/>
              <w:bottom w:w="120" w:type="dxa"/>
              <w:right w:w="140" w:type="dxa"/>
            </w:tcMar>
            <w:vAlign w:val="center"/>
          </w:tcPr>
          <w:p w:rsidR="005578AA" w:rsidRDefault="005404B5">
            <w:pPr>
              <w:jc w:val="center"/>
            </w:pPr>
            <w:r>
              <w:rPr>
                <w:color w:val="1F2A2E"/>
                <w:sz w:val="19"/>
                <w:szCs w:val="19"/>
              </w:rPr>
              <w:t xml:space="preserve">EC2 t3.large (2 vCPU / 8 GB), Mumbai</w:t>
            </w:r>
          </w:p>
        </w:tc>
        <w:tc>
          <w:tcPr>
            <w:tcW w:w="2200" w:type="dxa"/>
            <w:tcMar>
              <w:top w:w="120" w:type="dxa"/>
              <w:left w:w="140" w:type="dxa"/>
              <w:bottom w:w="120" w:type="dxa"/>
              <w:right w:w="140" w:type="dxa"/>
            </w:tcMar>
            <w:vAlign w:val="center"/>
          </w:tcPr>
          <w:p w:rsidR="005578AA" w:rsidRDefault="005404B5">
            <w:pPr>
              <w:jc w:val="center"/>
            </w:pPr>
            <w:r>
              <w:rPr>
                <w:color w:val="1F2A2E"/>
                <w:sz w:val="19"/>
                <w:szCs w:val="19"/>
              </w:rPr>
              <w:t xml:space="preserve">₹6,214</w:t>
            </w:r>
          </w:p>
        </w:tc>
      </w:tr>
      <w:tr w:rsidR="005578AA">
        <w:tblPrEx>
          <w:tblCellMar>
            <w:top w:w="0" w:type="dxa"/>
            <w:bottom w:w="0" w:type="dxa"/>
          </w:tblCellMar>
        </w:tblPrEx>
        <w:trPr>
          <w:cantSplit/>
        </w:trPr>
        <w:tc>
          <w:tcPr>
            <w:tcW w:w="2600" w:type="dxa"/>
            <w:tcMar>
              <w:top w:w="120" w:type="dxa"/>
              <w:left w:w="140" w:type="dxa"/>
              <w:bottom w:w="120" w:type="dxa"/>
              <w:right w:w="140" w:type="dxa"/>
            </w:tcMar>
            <w:vAlign w:val="center"/>
          </w:tcPr>
          <w:p w:rsidR="005578AA" w:rsidRDefault="005404B5">
            <w:r>
              <w:rPr>
                <w:color w:val="1F2A2E"/>
                <w:sz w:val="19"/>
                <w:szCs w:val="19"/>
              </w:rPr>
              <w:t xml:space="preserve">Database</w:t>
            </w:r>
          </w:p>
        </w:tc>
        <w:tc>
          <w:tcPr>
            <w:tcW w:w="4550" w:type="dxa"/>
            <w:tcMar>
              <w:top w:w="120" w:type="dxa"/>
              <w:left w:w="140" w:type="dxa"/>
              <w:bottom w:w="120" w:type="dxa"/>
              <w:right w:w="140" w:type="dxa"/>
            </w:tcMar>
            <w:vAlign w:val="center"/>
          </w:tcPr>
          <w:p w:rsidR="005578AA" w:rsidRDefault="005404B5">
            <w:pPr>
              <w:jc w:val="center"/>
            </w:pPr>
            <w:r>
              <w:rPr>
                <w:color w:val="1F2A2E"/>
                <w:sz w:val="19"/>
                <w:szCs w:val="19"/>
              </w:rPr>
              <w:t xml:space="preserve">RDS PostgreSQL db.t4g.medium, Single-AZ</w:t>
            </w:r>
          </w:p>
        </w:tc>
        <w:tc>
          <w:tcPr>
            <w:tcW w:w="2200" w:type="dxa"/>
            <w:tcMar>
              <w:top w:w="120" w:type="dxa"/>
              <w:left w:w="140" w:type="dxa"/>
              <w:bottom w:w="120" w:type="dxa"/>
              <w:right w:w="140" w:type="dxa"/>
            </w:tcMar>
            <w:vAlign w:val="center"/>
          </w:tcPr>
          <w:p w:rsidR="005578AA" w:rsidRDefault="005404B5">
            <w:pPr>
              <w:jc w:val="center"/>
            </w:pPr>
            <w:r>
              <w:rPr>
                <w:color w:val="1F2A2E"/>
                <w:sz w:val="19"/>
                <w:szCs w:val="19"/>
              </w:rPr>
              <w:t xml:space="preserve">₹5,825</w:t>
            </w:r>
          </w:p>
        </w:tc>
      </w:tr>
      <w:tr w:rsidR="005578AA">
        <w:tblPrEx>
          <w:tblCellMar>
            <w:top w:w="0" w:type="dxa"/>
            <w:bottom w:w="0" w:type="dxa"/>
          </w:tblCellMar>
        </w:tblPrEx>
        <w:trPr>
          <w:cantSplit/>
        </w:trPr>
        <w:tc>
          <w:tcPr>
            <w:tcW w:w="2600" w:type="dxa"/>
            <w:tcMar>
              <w:top w:w="120" w:type="dxa"/>
              <w:left w:w="140" w:type="dxa"/>
              <w:bottom w:w="120" w:type="dxa"/>
              <w:right w:w="140" w:type="dxa"/>
            </w:tcMar>
            <w:vAlign w:val="center"/>
          </w:tcPr>
          <w:p w:rsidR="005578AA" w:rsidRDefault="005404B5">
            <w:r>
              <w:rPr>
                <w:color w:val="1F2A2E"/>
                <w:sz w:val="19"/>
                <w:szCs w:val="19"/>
              </w:rPr>
              <w:t xml:space="preserve">Public IP addresses</w:t>
            </w:r>
          </w:p>
        </w:tc>
        <w:tc>
          <w:tcPr>
            <w:tcW w:w="4550" w:type="dxa"/>
            <w:tcMar>
              <w:top w:w="120" w:type="dxa"/>
              <w:left w:w="140" w:type="dxa"/>
              <w:bottom w:w="120" w:type="dxa"/>
              <w:right w:w="140" w:type="dxa"/>
            </w:tcMar>
            <w:vAlign w:val="center"/>
          </w:tcPr>
          <w:p w:rsidR="005578AA" w:rsidRDefault="005404B5">
            <w:pPr>
              <w:jc w:val="center"/>
            </w:pPr>
            <w:r>
              <w:rPr>
                <w:color w:val="1F2A2E"/>
                <w:sz w:val="19"/>
                <w:szCs w:val="19"/>
              </w:rPr>
              <w:t xml:space="preserve">2 — application and OCR nodes</w:t>
            </w:r>
          </w:p>
        </w:tc>
        <w:tc>
          <w:tcPr>
            <w:tcW w:w="2200" w:type="dxa"/>
            <w:tcMar>
              <w:top w:w="120" w:type="dxa"/>
              <w:left w:w="140" w:type="dxa"/>
              <w:bottom w:w="120" w:type="dxa"/>
              <w:right w:w="140" w:type="dxa"/>
            </w:tcMar>
            <w:vAlign w:val="center"/>
          </w:tcPr>
          <w:p w:rsidR="005578AA" w:rsidRDefault="005404B5">
            <w:pPr>
              <w:jc w:val="center"/>
            </w:pPr>
            <w:r>
              <w:rPr>
                <w:color w:val="1F2A2E"/>
                <w:sz w:val="19"/>
                <w:szCs w:val="19"/>
              </w:rPr>
              <w:t xml:space="preserve">₹694</w:t>
            </w:r>
          </w:p>
        </w:tc>
      </w:tr>
      <w:tr w:rsidR="005578AA">
        <w:tblPrEx>
          <w:tblCellMar>
            <w:top w:w="0" w:type="dxa"/>
            <w:bottom w:w="0" w:type="dxa"/>
          </w:tblCellMar>
        </w:tblPrEx>
        <w:trPr>
          <w:cantSplit/>
        </w:trPr>
        <w:tc>
          <w:tcPr>
            <w:tcW w:w="2600" w:type="dxa"/>
            <w:tcMar>
              <w:top w:w="120" w:type="dxa"/>
              <w:left w:w="140" w:type="dxa"/>
              <w:bottom w:w="120" w:type="dxa"/>
              <w:right w:w="140" w:type="dxa"/>
            </w:tcMar>
            <w:vAlign w:val="center"/>
          </w:tcPr>
          <w:p w:rsidR="005578AA" w:rsidRDefault="005404B5">
            <w:r>
              <w:rPr>
                <w:color w:val="1F2A2E"/>
                <w:sz w:val="19"/>
                <w:szCs w:val="19"/>
              </w:rPr>
              <w:t xml:space="preserve">Secrets management</w:t>
            </w:r>
          </w:p>
        </w:tc>
        <w:tc>
          <w:tcPr>
            <w:tcW w:w="4550" w:type="dxa"/>
            <w:tcMar>
              <w:top w:w="120" w:type="dxa"/>
              <w:left w:w="140" w:type="dxa"/>
              <w:bottom w:w="120" w:type="dxa"/>
              <w:right w:w="140" w:type="dxa"/>
            </w:tcMar>
            <w:vAlign w:val="center"/>
          </w:tcPr>
          <w:p w:rsidR="005578AA" w:rsidRDefault="005404B5">
            <w:pPr>
              <w:jc w:val="center"/>
            </w:pPr>
            <w:r>
              <w:rPr>
                <w:color w:val="1F2A2E"/>
                <w:sz w:val="19"/>
                <w:szCs w:val="19"/>
              </w:rPr>
              <w:t xml:space="preserve">AWS Secrets Manager, 5 secrets</w:t>
            </w:r>
          </w:p>
        </w:tc>
        <w:tc>
          <w:tcPr>
            <w:tcW w:w="2200" w:type="dxa"/>
            <w:tcMar>
              <w:top w:w="120" w:type="dxa"/>
              <w:left w:w="140" w:type="dxa"/>
              <w:bottom w:w="120" w:type="dxa"/>
              <w:right w:w="140" w:type="dxa"/>
            </w:tcMar>
            <w:vAlign w:val="center"/>
          </w:tcPr>
          <w:p w:rsidR="005578AA" w:rsidRDefault="005404B5">
            <w:pPr>
              <w:jc w:val="center"/>
            </w:pPr>
            <w:r>
              <w:rPr>
                <w:color w:val="1F2A2E"/>
                <w:sz w:val="19"/>
                <w:szCs w:val="19"/>
              </w:rPr>
              <w:t xml:space="preserve">₹190</w:t>
            </w:r>
          </w:p>
        </w:tc>
      </w:tr>
      <w:tr w:rsidR="005578AA">
        <w:tblPrEx>
          <w:tblCellMar>
            <w:top w:w="0" w:type="dxa"/>
            <w:bottom w:w="0" w:type="dxa"/>
          </w:tblCellMar>
        </w:tblPrEx>
        <w:trPr>
          <w:cantSplit/>
        </w:trPr>
        <w:tc>
          <w:tcPr>
            <w:tcW w:w="2600" w:type="dxa"/>
            <w:tcMar>
              <w:top w:w="120" w:type="dxa"/>
              <w:left w:w="140" w:type="dxa"/>
              <w:bottom w:w="120" w:type="dxa"/>
              <w:right w:w="140" w:type="dxa"/>
            </w:tcMar>
            <w:vAlign w:val="center"/>
          </w:tcPr>
          <w:p w:rsidR="005578AA" w:rsidRDefault="005404B5">
            <w:r>
              <w:rPr>
                <w:color w:val="1F2A2E"/>
                <w:sz w:val="19"/>
                <w:szCs w:val="19"/>
              </w:rPr>
              <w:t xml:space="preserve">DNS</w:t>
            </w:r>
          </w:p>
        </w:tc>
        <w:tc>
          <w:tcPr>
            <w:tcW w:w="4550" w:type="dxa"/>
            <w:tcMar>
              <w:top w:w="120" w:type="dxa"/>
              <w:left w:w="140" w:type="dxa"/>
              <w:bottom w:w="120" w:type="dxa"/>
              <w:right w:w="140" w:type="dxa"/>
            </w:tcMar>
            <w:vAlign w:val="center"/>
          </w:tcPr>
          <w:p w:rsidR="005578AA" w:rsidRDefault="005404B5">
            <w:pPr>
              <w:jc w:val="center"/>
            </w:pPr>
            <w:r>
              <w:rPr>
                <w:color w:val="1F2A2E"/>
                <w:sz w:val="19"/>
                <w:szCs w:val="19"/>
              </w:rPr>
              <w:t xml:space="preserve">Route 53 hosted zone</w:t>
            </w:r>
          </w:p>
        </w:tc>
        <w:tc>
          <w:tcPr>
            <w:tcW w:w="2200" w:type="dxa"/>
            <w:tcMar>
              <w:top w:w="120" w:type="dxa"/>
              <w:left w:w="140" w:type="dxa"/>
              <w:bottom w:w="120" w:type="dxa"/>
              <w:right w:w="140" w:type="dxa"/>
            </w:tcMar>
            <w:vAlign w:val="center"/>
          </w:tcPr>
          <w:p w:rsidR="005578AA" w:rsidRDefault="005404B5">
            <w:pPr>
              <w:jc w:val="center"/>
            </w:pPr>
            <w:r>
              <w:rPr>
                <w:color w:val="1F2A2E"/>
                <w:sz w:val="19"/>
                <w:szCs w:val="19"/>
              </w:rPr>
              <w:t xml:space="preserve">₹48</w:t>
            </w:r>
          </w:p>
        </w:tc>
      </w:tr>
      <w:tr w:rsidR="005578AA">
        <w:tblPrEx>
          <w:tblCellMar>
            <w:top w:w="0" w:type="dxa"/>
            <w:bottom w:w="0" w:type="dxa"/>
          </w:tblCellMar>
        </w:tblPrEx>
        <w:trPr>
          <w:cantSplit/>
        </w:trPr>
        <w:tc>
          <w:tcPr>
            <w:tcW w:w="2600" w:type="dxa"/>
            <w:tcMar>
              <w:top w:w="120" w:type="dxa"/>
              <w:left w:w="140" w:type="dxa"/>
              <w:bottom w:w="120" w:type="dxa"/>
              <w:right w:w="140" w:type="dxa"/>
            </w:tcMar>
            <w:vAlign w:val="center"/>
          </w:tcPr>
          <w:p w:rsidR="005578AA" w:rsidRDefault="005404B5">
            <w:r>
              <w:rPr>
                <w:b/>
                <w:color w:val="1F2A2E"/>
                <w:sz w:val="19"/>
                <w:szCs w:val="19"/>
              </w:rPr>
              <w:t xml:space="preserve">Fixed floor, per practice</w:t>
            </w:r>
          </w:p>
        </w:tc>
        <w:tc>
          <w:tcPr>
            <w:tcW w:w="4550" w:type="dxa"/>
            <w:tcMar>
              <w:top w:w="120" w:type="dxa"/>
              <w:left w:w="140" w:type="dxa"/>
              <w:bottom w:w="120" w:type="dxa"/>
              <w:right w:w="140" w:type="dxa"/>
            </w:tcMar>
            <w:vAlign w:val="center"/>
          </w:tcPr>
          <w:p w:rsidR="005578AA" w:rsidRDefault="005404B5">
            <w:pPr>
              <w:jc w:val="center"/>
            </w:pPr>
            <w:r>
              <w:rPr>
                <w:b/>
                <w:color w:val="1F2A2E"/>
                <w:sz w:val="19"/>
                <w:szCs w:val="19"/>
              </w:rPr>
              <w:t xml:space="preserve">Recurs for every deployment</w:t>
            </w:r>
          </w:p>
        </w:tc>
        <w:tc>
          <w:tcPr>
            <w:tcW w:w="2200" w:type="dxa"/>
            <w:tcMar>
              <w:top w:w="120" w:type="dxa"/>
              <w:left w:w="140" w:type="dxa"/>
              <w:bottom w:w="120" w:type="dxa"/>
              <w:right w:w="140" w:type="dxa"/>
            </w:tcMar>
            <w:vAlign w:val="center"/>
          </w:tcPr>
          <w:p w:rsidR="005578AA" w:rsidRDefault="005404B5">
            <w:pPr>
              <w:jc w:val="center"/>
            </w:pPr>
            <w:r>
              <w:rPr>
                <w:b/>
                <w:color w:val="1F2A2E"/>
                <w:sz w:val="19"/>
                <w:szCs w:val="19"/>
              </w:rPr>
              <w:t xml:space="preserve">₹12,970</w:t>
            </w:r>
          </w:p>
        </w:tc>
      </w:tr>
    </w:tbl>
    <w:p w14:paraId="2D17AE1D" w14:textId="77777777" w:rsidR="005578AA" w:rsidRDefault="005404B5">
      <w:pPr>
        <w:pStyle w:val="Heading2"/>
        <w:spacing w:before="260" w:after="100"/>
      </w:pPr>
      <w:r>
        <w:rPr>
          <w:b/>
          <w:bCs/>
          <w:color w:val="1F2A2E"/>
          <w:sz w:val="22"/>
          <w:szCs w:val="22"/>
        </w:rPr>
        <w:t xml:space="preserve">Usage-driven (25,000–50,000 documents/month)</w:t>
      </w:r>
      <w:proofErr w:type="spellStart"/>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550"/>
        <w:gridCol w:w="2200"/>
      </w:tblGrid>
      <w:tr w:rsidR="005578AA">
        <w:tblPrEx>
          <w:tblCellMar>
            <w:top w:w="0" w:type="dxa"/>
            <w:bottom w:w="0" w:type="dxa"/>
          </w:tblCellMar>
        </w:tblPrEx>
        <w:trPr>
          <w:cantSplit/>
          <w:tblHeader/>
        </w:trPr>
        <w:tc>
          <w:tcPr>
            <w:tcW w:w="2600" w:type="dxa"/>
            <w:shd w:val="clear" w:color="auto" w:fill="0F6B5C"/>
            <w:tcMar>
              <w:top w:w="120" w:type="dxa"/>
              <w:left w:w="140" w:type="dxa"/>
              <w:bottom w:w="120" w:type="dxa"/>
              <w:right w:w="140" w:type="dxa"/>
            </w:tcMar>
            <w:vAlign w:val="center"/>
          </w:tcPr>
          <w:p w:rsidR="005578AA" w:rsidRDefault="005404B5">
            <w:r>
              <w:rPr>
                <w:b/>
                <w:bCs/>
                <w:color w:val="FFFFFF"/>
                <w:sz w:val="19"/>
                <w:szCs w:val="19"/>
              </w:rPr>
              <w:t xml:space="preserve">Component</w:t>
            </w:r>
          </w:p>
        </w:tc>
        <w:tc>
          <w:tcPr>
            <w:tcW w:w="4550" w:type="dxa"/>
            <w:shd w:val="clear" w:color="auto" w:fill="0F6B5C"/>
            <w:tcMar>
              <w:top w:w="120" w:type="dxa"/>
              <w:left w:w="140" w:type="dxa"/>
              <w:bottom w:w="120" w:type="dxa"/>
              <w:right w:w="140" w:type="dxa"/>
            </w:tcMar>
            <w:vAlign w:val="center"/>
          </w:tcPr>
          <w:p w:rsidR="005578AA" w:rsidRDefault="005404B5">
            <w:pPr>
              <w:jc w:val="center"/>
            </w:pPr>
            <w:r>
              <w:rPr>
                <w:b/>
                <w:bCs/>
                <w:color w:val="FFFFFF"/>
                <w:sz w:val="19"/>
                <w:szCs w:val="19"/>
              </w:rPr>
              <w:t xml:space="preserve">Basis</w:t>
            </w:r>
          </w:p>
        </w:tc>
        <w:tc>
          <w:tcPr>
            <w:tcW w:w="2200" w:type="dxa"/>
            <w:shd w:val="clear" w:color="auto" w:fill="0F6B5C"/>
            <w:tcMar>
              <w:top w:w="120" w:type="dxa"/>
              <w:left w:w="140" w:type="dxa"/>
              <w:bottom w:w="120" w:type="dxa"/>
              <w:right w:w="140" w:type="dxa"/>
            </w:tcMar>
            <w:vAlign w:val="center"/>
          </w:tcPr>
          <w:p w:rsidR="005578AA" w:rsidRDefault="005404B5">
            <w:pPr>
              <w:jc w:val="center"/>
            </w:pPr>
            <w:r>
              <w:rPr>
                <w:b/>
                <w:bCs/>
                <w:color w:val="FFFFFF"/>
                <w:sz w:val="19"/>
                <w:szCs w:val="19"/>
              </w:rPr>
              <w:t xml:space="preserve">Monthly (₹)</w:t>
            </w:r>
          </w:p>
        </w:tc>
      </w:tr>
      <w:tr w:rsidR="005578AA">
        <w:tblPrEx>
          <w:tblCellMar>
            <w:top w:w="0" w:type="dxa"/>
            <w:bottom w:w="0" w:type="dxa"/>
          </w:tblCellMar>
        </w:tblPrEx>
        <w:trPr>
          <w:cantSplit/>
        </w:trPr>
        <w:tc>
          <w:tcPr>
            <w:tcW w:w="2600" w:type="dxa"/>
            <w:tcMar>
              <w:top w:w="120" w:type="dxa"/>
              <w:left w:w="140" w:type="dxa"/>
              <w:bottom w:w="120" w:type="dxa"/>
              <w:right w:w="140" w:type="dxa"/>
            </w:tcMar>
            <w:vAlign w:val="center"/>
          </w:tcPr>
          <w:p w:rsidR="005578AA" w:rsidRDefault="005404B5">
            <w:r>
              <w:rPr>
                <w:color w:val="1F2A2E"/>
                <w:sz w:val="19"/>
                <w:szCs w:val="19"/>
              </w:rPr>
              <w:t xml:space="preserve">OCR / document extraction</w:t>
            </w:r>
          </w:p>
        </w:tc>
        <w:tc>
          <w:tcPr>
            <w:tcW w:w="4550" w:type="dxa"/>
            <w:tcMar>
              <w:top w:w="120" w:type="dxa"/>
              <w:left w:w="140" w:type="dxa"/>
              <w:bottom w:w="120" w:type="dxa"/>
              <w:right w:w="140" w:type="dxa"/>
            </w:tcMar>
            <w:vAlign w:val="center"/>
          </w:tcPr>
          <w:p w:rsidR="005578AA" w:rsidRDefault="005404B5">
            <w:pPr>
              <w:jc w:val="center"/>
            </w:pPr>
            <w:r>
              <w:rPr>
                <w:color w:val="1F2A2E"/>
                <w:sz w:val="19"/>
                <w:szCs w:val="19"/>
              </w:rPr>
              <w:t xml:space="preserve">Self-hosted PaddleOCR on CPU (ADR 0008) — EC2 c7i.xlarge (4 vCPU) to c7i.2xlarge (8 vCPU) by volume</w:t>
            </w:r>
          </w:p>
        </w:tc>
        <w:tc>
          <w:tcPr>
            <w:tcW w:w="2200" w:type="dxa"/>
            <w:tcMar>
              <w:top w:w="120" w:type="dxa"/>
              <w:left w:w="140" w:type="dxa"/>
              <w:bottom w:w="120" w:type="dxa"/>
              <w:right w:w="140" w:type="dxa"/>
            </w:tcMar>
            <w:vAlign w:val="center"/>
          </w:tcPr>
          <w:p w:rsidR="005578AA" w:rsidRDefault="005404B5">
            <w:pPr>
              <w:jc w:val="center"/>
            </w:pPr>
            <w:r>
              <w:rPr>
                <w:color w:val="1F2A2E"/>
                <w:sz w:val="19"/>
                <w:szCs w:val="19"/>
              </w:rPr>
              <w:t xml:space="preserve">₹12,379 – ₹24,758</w:t>
            </w:r>
          </w:p>
        </w:tc>
      </w:tr>
      <w:tr w:rsidR="005578AA">
        <w:tblPrEx>
          <w:tblCellMar>
            <w:top w:w="0" w:type="dxa"/>
            <w:bottom w:w="0" w:type="dxa"/>
          </w:tblCellMar>
        </w:tblPrEx>
        <w:trPr>
          <w:cantSplit/>
        </w:trPr>
        <w:tc>
          <w:tcPr>
            <w:tcW w:w="2600" w:type="dxa"/>
            <w:tcMar>
              <w:top w:w="120" w:type="dxa"/>
              <w:left w:w="140" w:type="dxa"/>
              <w:bottom w:w="120" w:type="dxa"/>
              <w:right w:w="140" w:type="dxa"/>
            </w:tcMar>
            <w:vAlign w:val="center"/>
          </w:tcPr>
          <w:p w:rsidR="005578AA" w:rsidRDefault="005404B5">
            <w:r>
              <w:rPr>
                <w:color w:val="1F2A2E"/>
                <w:sz w:val="19"/>
                <w:szCs w:val="19"/>
              </w:rPr>
              <w:t xml:space="preserve">Database storage and backup</w:t>
            </w:r>
          </w:p>
        </w:tc>
        <w:tc>
          <w:tcPr>
            <w:tcW w:w="4550" w:type="dxa"/>
            <w:tcMar>
              <w:top w:w="120" w:type="dxa"/>
              <w:left w:w="140" w:type="dxa"/>
              <w:bottom w:w="120" w:type="dxa"/>
              <w:right w:w="140" w:type="dxa"/>
            </w:tcMar>
            <w:vAlign w:val="center"/>
          </w:tcPr>
          <w:p w:rsidR="005578AA" w:rsidRDefault="005404B5">
            <w:pPr>
              <w:jc w:val="center"/>
            </w:pPr>
            <w:r>
              <w:rPr>
                <w:color w:val="1F2A2E"/>
                <w:sz w:val="19"/>
                <w:szCs w:val="19"/>
              </w:rPr>
              <w:t xml:space="preserve">100–200 GB provisioned, daily automated backups</w:t>
            </w:r>
          </w:p>
        </w:tc>
        <w:tc>
          <w:tcPr>
            <w:tcW w:w="2200" w:type="dxa"/>
            <w:tcMar>
              <w:top w:w="120" w:type="dxa"/>
              <w:left w:w="140" w:type="dxa"/>
              <w:bottom w:w="120" w:type="dxa"/>
              <w:right w:w="140" w:type="dxa"/>
            </w:tcMar>
            <w:vAlign w:val="center"/>
          </w:tcPr>
          <w:p w:rsidR="005578AA" w:rsidRDefault="005404B5">
            <w:pPr>
              <w:jc w:val="center"/>
            </w:pPr>
            <w:r>
              <w:rPr>
                <w:color w:val="1F2A2E"/>
                <w:sz w:val="19"/>
                <w:szCs w:val="19"/>
              </w:rPr>
              <w:t xml:space="preserve">₹1,496 – ₹2,992</w:t>
            </w:r>
          </w:p>
        </w:tc>
      </w:tr>
      <w:tr w:rsidR="005578AA">
        <w:tblPrEx>
          <w:tblCellMar>
            <w:top w:w="0" w:type="dxa"/>
            <w:bottom w:w="0" w:type="dxa"/>
          </w:tblCellMar>
        </w:tblPrEx>
        <w:trPr>
          <w:cantSplit/>
        </w:trPr>
        <w:tc>
          <w:tcPr>
            <w:tcW w:w="2600" w:type="dxa"/>
            <w:tcMar>
              <w:top w:w="120" w:type="dxa"/>
              <w:left w:w="140" w:type="dxa"/>
              <w:bottom w:w="120" w:type="dxa"/>
              <w:right w:w="140" w:type="dxa"/>
            </w:tcMar>
            <w:vAlign w:val="center"/>
          </w:tcPr>
          <w:p w:rsidR="005578AA" w:rsidRDefault="005404B5">
            <w:r>
              <w:rPr>
                <w:color w:val="1F2A2E"/>
                <w:sz w:val="19"/>
                <w:szCs w:val="19"/>
              </w:rPr>
              <w:t xml:space="preserve">Instance storage</w:t>
            </w:r>
          </w:p>
        </w:tc>
        <w:tc>
          <w:tcPr>
            <w:tcW w:w="4550" w:type="dxa"/>
            <w:tcMar>
              <w:top w:w="120" w:type="dxa"/>
              <w:left w:w="140" w:type="dxa"/>
              <w:bottom w:w="120" w:type="dxa"/>
              <w:right w:w="140" w:type="dxa"/>
            </w:tcMar>
            <w:vAlign w:val="center"/>
          </w:tcPr>
          <w:p w:rsidR="005578AA" w:rsidRDefault="005404B5">
            <w:pPr>
              <w:jc w:val="center"/>
            </w:pPr>
            <w:r>
              <w:rPr>
                <w:color w:val="1F2A2E"/>
                <w:sz w:val="19"/>
                <w:szCs w:val="19"/>
              </w:rPr>
              <w:t xml:space="preserve">120–200 GB EBS gp3</w:t>
            </w:r>
          </w:p>
        </w:tc>
        <w:tc>
          <w:tcPr>
            <w:tcW w:w="2200" w:type="dxa"/>
            <w:tcMar>
              <w:top w:w="120" w:type="dxa"/>
              <w:left w:w="140" w:type="dxa"/>
              <w:bottom w:w="120" w:type="dxa"/>
              <w:right w:w="140" w:type="dxa"/>
            </w:tcMar>
            <w:vAlign w:val="center"/>
          </w:tcPr>
          <w:p w:rsidR="005578AA" w:rsidRDefault="005404B5">
            <w:pPr>
              <w:jc w:val="center"/>
            </w:pPr>
            <w:r>
              <w:rPr>
                <w:color w:val="1F2A2E"/>
                <w:sz w:val="19"/>
                <w:szCs w:val="19"/>
              </w:rPr>
              <w:t xml:space="preserve">₹1,040 – ₹1,733</w:t>
            </w:r>
          </w:p>
        </w:tc>
      </w:tr>
      <w:tr w:rsidR="005578AA">
        <w:tblPrEx>
          <w:tblCellMar>
            <w:top w:w="0" w:type="dxa"/>
            <w:bottom w:w="0" w:type="dxa"/>
          </w:tblCellMar>
        </w:tblPrEx>
        <w:trPr>
          <w:cantSplit/>
        </w:trPr>
        <w:tc>
          <w:tcPr>
            <w:tcW w:w="2600" w:type="dxa"/>
            <w:tcMar>
              <w:top w:w="120" w:type="dxa"/>
              <w:left w:w="140" w:type="dxa"/>
              <w:bottom w:w="120" w:type="dxa"/>
              <w:right w:w="140" w:type="dxa"/>
            </w:tcMar>
            <w:vAlign w:val="center"/>
          </w:tcPr>
          <w:p w:rsidR="005578AA" w:rsidRDefault="005404B5">
            <w:r>
              <w:rPr>
                <w:color w:val="1F2A2E"/>
                <w:sz w:val="19"/>
                <w:szCs w:val="19"/>
              </w:rPr>
              <w:t xml:space="preserve">Object storage</w:t>
            </w:r>
          </w:p>
        </w:tc>
        <w:tc>
          <w:tcPr>
            <w:tcW w:w="4550" w:type="dxa"/>
            <w:tcMar>
              <w:top w:w="120" w:type="dxa"/>
              <w:left w:w="140" w:type="dxa"/>
              <w:bottom w:w="120" w:type="dxa"/>
              <w:right w:w="140" w:type="dxa"/>
            </w:tcMar>
            <w:vAlign w:val="center"/>
          </w:tcPr>
          <w:p w:rsidR="005578AA" w:rsidRDefault="005404B5">
            <w:pPr>
              <w:jc w:val="center"/>
            </w:pPr>
            <w:r>
              <w:rPr>
                <w:color w:val="1F2A2E"/>
                <w:sz w:val="19"/>
                <w:szCs w:val="19"/>
              </w:rPr>
              <w:t xml:space="preserve">50–150 GB S3 — OCR intermediates and backups</w:t>
            </w:r>
          </w:p>
        </w:tc>
        <w:tc>
          <w:tcPr>
            <w:tcW w:w="2200" w:type="dxa"/>
            <w:tcMar>
              <w:top w:w="120" w:type="dxa"/>
              <w:left w:w="140" w:type="dxa"/>
              <w:bottom w:w="120" w:type="dxa"/>
              <w:right w:w="140" w:type="dxa"/>
            </w:tcMar>
            <w:vAlign w:val="center"/>
          </w:tcPr>
          <w:p w:rsidR="005578AA" w:rsidRDefault="005404B5">
            <w:pPr>
              <w:jc w:val="center"/>
            </w:pPr>
            <w:r>
              <w:rPr>
                <w:color w:val="1F2A2E"/>
                <w:sz w:val="19"/>
                <w:szCs w:val="19"/>
              </w:rPr>
              <w:t xml:space="preserve">₹119 – ₹356</w:t>
            </w:r>
          </w:p>
        </w:tc>
      </w:tr>
      <w:tr w:rsidR="005578AA">
        <w:tblPrEx>
          <w:tblCellMar>
            <w:top w:w="0" w:type="dxa"/>
            <w:bottom w:w="0" w:type="dxa"/>
          </w:tblCellMar>
        </w:tblPrEx>
        <w:trPr>
          <w:cantSplit/>
        </w:trPr>
        <w:tc>
          <w:tcPr>
            <w:tcW w:w="2600" w:type="dxa"/>
            <w:tcMar>
              <w:top w:w="120" w:type="dxa"/>
              <w:left w:w="140" w:type="dxa"/>
              <w:bottom w:w="120" w:type="dxa"/>
              <w:right w:w="140" w:type="dxa"/>
            </w:tcMar>
            <w:vAlign w:val="center"/>
          </w:tcPr>
          <w:p w:rsidR="005578AA" w:rsidRDefault="005404B5">
            <w:r>
              <w:rPr>
                <w:color w:val="1F2A2E"/>
                <w:sz w:val="19"/>
                <w:szCs w:val="19"/>
              </w:rPr>
              <w:t xml:space="preserve">Logs and monitoring</w:t>
            </w:r>
          </w:p>
        </w:tc>
        <w:tc>
          <w:tcPr>
            <w:tcW w:w="4550" w:type="dxa"/>
            <w:tcMar>
              <w:top w:w="120" w:type="dxa"/>
              <w:left w:w="140" w:type="dxa"/>
              <w:bottom w:w="120" w:type="dxa"/>
              <w:right w:w="140" w:type="dxa"/>
            </w:tcMar>
            <w:vAlign w:val="center"/>
          </w:tcPr>
          <w:p w:rsidR="005578AA" w:rsidRDefault="005404B5">
            <w:pPr>
              <w:jc w:val="center"/>
            </w:pPr>
            <w:r>
              <w:rPr>
                <w:color w:val="1F2A2E"/>
                <w:sz w:val="19"/>
                <w:szCs w:val="19"/>
              </w:rPr>
              <w:t xml:space="preserve">5–20 GB CloudWatch ingestion</w:t>
            </w:r>
          </w:p>
        </w:tc>
        <w:tc>
          <w:tcPr>
            <w:tcW w:w="2200" w:type="dxa"/>
            <w:tcMar>
              <w:top w:w="120" w:type="dxa"/>
              <w:left w:w="140" w:type="dxa"/>
              <w:bottom w:w="120" w:type="dxa"/>
              <w:right w:w="140" w:type="dxa"/>
            </w:tcMar>
            <w:vAlign w:val="center"/>
          </w:tcPr>
          <w:p w:rsidR="005578AA" w:rsidRDefault="005404B5">
            <w:pPr>
              <w:jc w:val="center"/>
            </w:pPr>
            <w:r>
              <w:rPr>
                <w:color w:val="1F2A2E"/>
                <w:sz w:val="19"/>
                <w:szCs w:val="19"/>
              </w:rPr>
              <w:t xml:space="preserve">₹361 – ₹1,444</w:t>
            </w:r>
          </w:p>
        </w:tc>
      </w:tr>
      <w:tr w:rsidR="005578AA">
        <w:tblPrEx>
          <w:tblCellMar>
            <w:top w:w="0" w:type="dxa"/>
            <w:bottom w:w="0" w:type="dxa"/>
          </w:tblCellMar>
        </w:tblPrEx>
        <w:trPr>
          <w:cantSplit/>
        </w:trPr>
        <w:tc>
          <w:tcPr>
            <w:tcW w:w="2600" w:type="dxa"/>
            <w:tcMar>
              <w:top w:w="120" w:type="dxa"/>
              <w:left w:w="140" w:type="dxa"/>
              <w:bottom w:w="120" w:type="dxa"/>
              <w:right w:w="140" w:type="dxa"/>
            </w:tcMar>
            <w:vAlign w:val="center"/>
          </w:tcPr>
          <w:p w:rsidR="005578AA" w:rsidRDefault="005404B5">
            <w:r>
              <w:rPr>
                <w:color w:val="1F2A2E"/>
                <w:sz w:val="19"/>
                <w:szCs w:val="19"/>
              </w:rPr>
              <w:t xml:space="preserve">Email</w:t>
            </w:r>
          </w:p>
        </w:tc>
        <w:tc>
          <w:tcPr>
            <w:tcW w:w="4550" w:type="dxa"/>
            <w:tcMar>
              <w:top w:w="120" w:type="dxa"/>
              <w:left w:w="140" w:type="dxa"/>
              <w:bottom w:w="120" w:type="dxa"/>
              <w:right w:w="140" w:type="dxa"/>
            </w:tcMar>
            <w:vAlign w:val="center"/>
          </w:tcPr>
          <w:p w:rsidR="005578AA" w:rsidRDefault="005404B5">
            <w:pPr>
              <w:jc w:val="center"/>
            </w:pPr>
            <w:r>
              <w:rPr>
                <w:color w:val="1F2A2E"/>
                <w:sz w:val="19"/>
                <w:szCs w:val="19"/>
              </w:rPr>
              <w:t xml:space="preserve">AWS SES, 10,000–15,000 messages</w:t>
            </w:r>
          </w:p>
        </w:tc>
        <w:tc>
          <w:tcPr>
            <w:tcW w:w="2200" w:type="dxa"/>
            <w:tcMar>
              <w:top w:w="120" w:type="dxa"/>
              <w:left w:w="140" w:type="dxa"/>
              <w:bottom w:w="120" w:type="dxa"/>
              <w:right w:w="140" w:type="dxa"/>
            </w:tcMar>
            <w:vAlign w:val="center"/>
          </w:tcPr>
          <w:p w:rsidR="005578AA" w:rsidRDefault="005404B5">
            <w:pPr>
              <w:jc w:val="center"/>
            </w:pPr>
            <w:r>
              <w:rPr>
                <w:color w:val="1F2A2E"/>
                <w:sz w:val="19"/>
                <w:szCs w:val="19"/>
              </w:rPr>
              <w:t xml:space="preserve">₹95 – ₹142</w:t>
            </w:r>
          </w:p>
        </w:tc>
      </w:tr>
      <w:tr w:rsidR="005578AA">
        <w:tblPrEx>
          <w:tblCellMar>
            <w:top w:w="0" w:type="dxa"/>
            <w:bottom w:w="0" w:type="dxa"/>
          </w:tblCellMar>
        </w:tblPrEx>
        <w:trPr>
          <w:cantSplit/>
        </w:trPr>
        <w:tc>
          <w:tcPr>
            <w:tcW w:w="2600" w:type="dxa"/>
            <w:tcMar>
              <w:top w:w="120" w:type="dxa"/>
              <w:left w:w="140" w:type="dxa"/>
              <w:bottom w:w="120" w:type="dxa"/>
              <w:right w:w="140" w:type="dxa"/>
            </w:tcMar>
            <w:vAlign w:val="center"/>
          </w:tcPr>
          <w:p w:rsidR="005578AA" w:rsidRDefault="005404B5">
            <w:r>
              <w:rPr>
                <w:color w:val="1F2A2E"/>
                <w:sz w:val="19"/>
                <w:szCs w:val="19"/>
              </w:rPr>
              <w:t xml:space="preserve">Data transfer out</w:t>
            </w:r>
          </w:p>
        </w:tc>
        <w:tc>
          <w:tcPr>
            <w:tcW w:w="4550" w:type="dxa"/>
            <w:tcMar>
              <w:top w:w="120" w:type="dxa"/>
              <w:left w:w="140" w:type="dxa"/>
              <w:bottom w:w="120" w:type="dxa"/>
              <w:right w:w="140" w:type="dxa"/>
            </w:tcMar>
            <w:vAlign w:val="center"/>
          </w:tcPr>
          <w:p w:rsidR="005578AA" w:rsidRDefault="005404B5">
            <w:pPr>
              <w:jc w:val="center"/>
            </w:pPr>
            <w:r>
              <w:rPr>
                <w:color w:val="1F2A2E"/>
                <w:sz w:val="19"/>
                <w:szCs w:val="19"/>
              </w:rPr>
              <w:t xml:space="preserve">20–50 GB to the internet</w:t>
            </w:r>
          </w:p>
        </w:tc>
        <w:tc>
          <w:tcPr>
            <w:tcW w:w="2200" w:type="dxa"/>
            <w:tcMar>
              <w:top w:w="120" w:type="dxa"/>
              <w:left w:w="140" w:type="dxa"/>
              <w:bottom w:w="120" w:type="dxa"/>
              <w:right w:w="140" w:type="dxa"/>
            </w:tcMar>
            <w:vAlign w:val="center"/>
          </w:tcPr>
          <w:p w:rsidR="005578AA" w:rsidRDefault="005404B5">
            <w:pPr>
              <w:jc w:val="center"/>
            </w:pPr>
            <w:r>
              <w:rPr>
                <w:color w:val="1F2A2E"/>
                <w:sz w:val="19"/>
                <w:szCs w:val="19"/>
              </w:rPr>
              <w:t xml:space="preserve">₹208 – ₹519</w:t>
            </w:r>
          </w:p>
        </w:tc>
      </w:tr>
    </w:tbl>
    <w:p w:rsidR="005578AA" w:rsidRDefault="005404B5">
      <w:pPr>
        <w:spacing w:after="160" w:line="300" w:lineRule="auto"/>
      </w:pPr>
      <w:r>
        <w:rPr>
          <w:color w:val="1F2A2E"/>
          <w:sz w:val="21"/>
          <w:szCs w:val="21"/>
        </w:rPr>
        <w:t xml:space="preserve">Optional, not included in the totals below: a Multi-AZ database standby, which holds a synchronous replica in a second availability zone and fails over automatically, adds ₹5,756/month. Single-AZ with daily backups is the assumed configuration.</w:t>
      </w:r>
    </w:p>
    <w:p w14:paraId="6E4DA926" w14:textId="77777777" w:rsidR="005578AA" w:rsidRDefault="005578AA">
      <w:pPr>
        <w:spacing w:after="80"/>
      </w:pPr>
    </w:p>
    <w:p w14:paraId="345F19A1" w14:textId="77777777" w:rsidR="005578AA" w:rsidRDefault="005404B5">
      <w:pPr>
        <w:pStyle w:val="Heading2"/>
        <w:spacing w:before="260" w:after="100"/>
      </w:pPr>
      <w:r>
        <w:rPr>
          <w:b/>
          <w:bCs/>
          <w:color w:val="1F2A2E"/>
          <w:sz w:val="22"/>
          <w:szCs w:val="22"/>
        </w:rPr>
        <w:t>LLM cost optimization (ADR 0012)</w:t>
      </w:r>
    </w:p>
    <w:p w14:paraId="3F6714DF" w14:textId="77777777" w:rsidR="005578AA" w:rsidRDefault="005404B5">
      <w:pPr>
        <w:spacing w:after="160" w:line="300" w:lineRule="auto"/>
      </w:pPr>
      <w:r>
        <w:rPr>
          <w:color w:val="1F2A2E"/>
          <w:sz w:val="21"/>
          <w:szCs w:val="21"/>
        </w:rPr>
        <w:t>The original LLM estimate assumed every agent action on every document triggers a call — which scales linearly with client count. ADR 0012 removes that assumption for the agents that don't need it, and caches the ones that do: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5578AA" w14:paraId="1D755753" w14:textId="77777777">
        <w:tblPrEx>
          <w:tblCellMar>
            <w:top w:w="0" w:type="dxa"/>
            <w:bottom w:w="0" w:type="dxa"/>
          </w:tblCellMar>
        </w:tblPrEx>
        <w:trPr>
          <w:cantSplit/>
          <w:tblHeader/>
        </w:trPr>
        <w:tc>
          <w:tcPr>
            <w:tcW w:w="3000" w:type="dxa"/>
            <w:shd w:val="clear" w:color="auto" w:fill="0F6B5C"/>
            <w:tcMar>
              <w:top w:w="120" w:type="dxa"/>
              <w:left w:w="140" w:type="dxa"/>
              <w:bottom w:w="120" w:type="dxa"/>
              <w:right w:w="140" w:type="dxa"/>
            </w:tcMar>
            <w:vAlign w:val="center"/>
          </w:tcPr>
          <w:p w14:paraId="7098919D" w14:textId="77777777" w:rsidR="005578AA" w:rsidRDefault="005404B5">
            <w:r>
              <w:rPr>
                <w:b/>
                <w:bCs/>
                <w:color w:val="FFFFFF"/>
                <w:sz w:val="19"/>
                <w:szCs w:val="19"/>
              </w:rPr>
              <w:t>Agent</w:t>
            </w:r>
          </w:p>
        </w:tc>
        <w:tc>
          <w:tcPr>
            <w:tcW w:w="6350" w:type="dxa"/>
            <w:shd w:val="clear" w:color="auto" w:fill="0F6B5C"/>
            <w:tcMar>
              <w:top w:w="120" w:type="dxa"/>
              <w:left w:w="140" w:type="dxa"/>
              <w:bottom w:w="120" w:type="dxa"/>
              <w:right w:w="140" w:type="dxa"/>
            </w:tcMar>
            <w:vAlign w:val="center"/>
          </w:tcPr>
          <w:p w14:paraId="281735BD" w14:textId="77777777" w:rsidR="005578AA" w:rsidRDefault="005404B5">
            <w:pPr>
              <w:jc w:val="center"/>
            </w:pPr>
            <w:r>
              <w:rPr>
                <w:b/>
                <w:bCs/>
                <w:color w:val="FFFFFF"/>
                <w:sz w:val="19"/>
                <w:szCs w:val="19"/>
              </w:rPr>
              <w:t>LLM treatment under ADR 0012</w:t>
            </w:r>
          </w:p>
        </w:tc>
      </w:tr>
      <w:tr w:rsidR="005578AA" w14:paraId="1747A316" w14:textId="77777777">
        <w:tblPrEx>
          <w:tblCellMar>
            <w:top w:w="0" w:type="dxa"/>
            <w:bottom w:w="0" w:type="dxa"/>
          </w:tblCellMar>
        </w:tblPrEx>
        <w:trPr>
          <w:cantSplit/>
        </w:trPr>
        <w:tc>
          <w:tcPr>
            <w:tcW w:w="3000" w:type="dxa"/>
            <w:tcMar>
              <w:top w:w="120" w:type="dxa"/>
              <w:left w:w="140" w:type="dxa"/>
              <w:bottom w:w="120" w:type="dxa"/>
              <w:right w:w="140" w:type="dxa"/>
            </w:tcMar>
            <w:vAlign w:val="center"/>
          </w:tcPr>
          <w:p w14:paraId="39A3BF74" w14:textId="77777777" w:rsidR="005578AA" w:rsidRDefault="005404B5">
            <w:r>
              <w:rPr>
                <w:color w:val="1F2A2E"/>
                <w:sz w:val="19"/>
                <w:szCs w:val="19"/>
              </w:rPr>
              <w:t>Reconciliation</w:t>
            </w:r>
          </w:p>
        </w:tc>
        <w:tc>
          <w:tcPr>
            <w:tcW w:w="6350" w:type="dxa"/>
            <w:tcMar>
              <w:top w:w="120" w:type="dxa"/>
              <w:left w:w="140" w:type="dxa"/>
              <w:bottom w:w="120" w:type="dxa"/>
              <w:right w:w="140" w:type="dxa"/>
            </w:tcMar>
            <w:vAlign w:val="center"/>
          </w:tcPr>
          <w:p w14:paraId="59F496BC" w14:textId="77777777" w:rsidR="005578AA" w:rsidRDefault="005404B5">
            <w:pPr>
              <w:jc w:val="center"/>
            </w:pPr>
            <w:r>
              <w:rPr>
                <w:color w:val="1F2A2E"/>
                <w:sz w:val="19"/>
                <w:szCs w:val="19"/>
              </w:rPr>
              <w:t>Off LLM entirely — deterministic GSTIN/invoice/amount matching</w:t>
            </w:r>
          </w:p>
        </w:tc>
      </w:tr>
      <w:tr w:rsidR="005578AA" w14:paraId="08C48C08" w14:textId="77777777">
        <w:tblPrEx>
          <w:tblCellMar>
            <w:top w:w="0" w:type="dxa"/>
            <w:bottom w:w="0" w:type="dxa"/>
          </w:tblCellMar>
        </w:tblPrEx>
        <w:trPr>
          <w:cantSplit/>
        </w:trPr>
        <w:tc>
          <w:tcPr>
            <w:tcW w:w="3000" w:type="dxa"/>
            <w:shd w:val="clear" w:color="auto" w:fill="E4F1EE"/>
            <w:tcMar>
              <w:top w:w="120" w:type="dxa"/>
              <w:left w:w="140" w:type="dxa"/>
              <w:bottom w:w="120" w:type="dxa"/>
              <w:right w:w="140" w:type="dxa"/>
            </w:tcMar>
            <w:vAlign w:val="center"/>
          </w:tcPr>
          <w:p w14:paraId="32482EFA" w14:textId="77777777" w:rsidR="005578AA" w:rsidRDefault="005404B5">
            <w:r>
              <w:rPr>
                <w:color w:val="1F2A2E"/>
                <w:sz w:val="19"/>
                <w:szCs w:val="19"/>
              </w:rPr>
              <w:t>Validation / Compliance</w:t>
            </w:r>
          </w:p>
        </w:tc>
        <w:tc>
          <w:tcPr>
            <w:tcW w:w="6350" w:type="dxa"/>
            <w:shd w:val="clear" w:color="auto" w:fill="E4F1EE"/>
            <w:tcMar>
              <w:top w:w="120" w:type="dxa"/>
              <w:left w:w="140" w:type="dxa"/>
              <w:bottom w:w="120" w:type="dxa"/>
              <w:right w:w="140" w:type="dxa"/>
            </w:tcMar>
            <w:vAlign w:val="center"/>
          </w:tcPr>
          <w:p w14:paraId="163EF833" w14:textId="77777777" w:rsidR="005578AA" w:rsidRDefault="005404B5">
            <w:pPr>
              <w:jc w:val="center"/>
            </w:pPr>
            <w:r>
              <w:rPr>
                <w:color w:val="1F2A2E"/>
                <w:sz w:val="19"/>
                <w:szCs w:val="19"/>
              </w:rPr>
              <w:t>Off LLM entirely — arithmetic comparisons and table lookups</w:t>
            </w:r>
          </w:p>
        </w:tc>
      </w:tr>
      <w:tr w:rsidR="005578AA" w14:paraId="27D45F88" w14:textId="77777777">
        <w:tblPrEx>
          <w:tblCellMar>
            <w:top w:w="0" w:type="dxa"/>
            <w:bottom w:w="0" w:type="dxa"/>
          </w:tblCellMar>
        </w:tblPrEx>
        <w:trPr>
          <w:cantSplit/>
        </w:trPr>
        <w:tc>
          <w:tcPr>
            <w:tcW w:w="3000" w:type="dxa"/>
            <w:tcMar>
              <w:top w:w="120" w:type="dxa"/>
              <w:left w:w="140" w:type="dxa"/>
              <w:bottom w:w="120" w:type="dxa"/>
              <w:right w:w="140" w:type="dxa"/>
            </w:tcMar>
            <w:vAlign w:val="center"/>
          </w:tcPr>
          <w:p w14:paraId="773CB7AA" w14:textId="77777777" w:rsidR="005578AA" w:rsidRDefault="005404B5">
            <w:r>
              <w:rPr>
                <w:color w:val="1F2A2E"/>
                <w:sz w:val="19"/>
                <w:szCs w:val="19"/>
              </w:rPr>
              <w:t>TDS/TCS matching</w:t>
            </w:r>
          </w:p>
        </w:tc>
        <w:tc>
          <w:tcPr>
            <w:tcW w:w="6350" w:type="dxa"/>
            <w:tcMar>
              <w:top w:w="120" w:type="dxa"/>
              <w:left w:w="140" w:type="dxa"/>
              <w:bottom w:w="120" w:type="dxa"/>
              <w:right w:w="140" w:type="dxa"/>
            </w:tcMar>
            <w:vAlign w:val="center"/>
          </w:tcPr>
          <w:p w14:paraId="6F5EEDC4" w14:textId="77777777" w:rsidR="005578AA" w:rsidRDefault="005404B5">
            <w:pPr>
              <w:jc w:val="center"/>
            </w:pPr>
            <w:r>
              <w:rPr>
                <w:color w:val="1F2A2E"/>
                <w:sz w:val="19"/>
                <w:szCs w:val="19"/>
              </w:rPr>
              <w:t>Off LLM entirely — deterministic matching, same logic as Reconciliation</w:t>
            </w:r>
          </w:p>
        </w:tc>
      </w:tr>
      <w:tr w:rsidR="005578AA" w14:paraId="606B3C34" w14:textId="77777777">
        <w:tblPrEx>
          <w:tblCellMar>
            <w:top w:w="0" w:type="dxa"/>
            <w:bottom w:w="0" w:type="dxa"/>
          </w:tblCellMar>
        </w:tblPrEx>
        <w:trPr>
          <w:cantSplit/>
        </w:trPr>
        <w:tc>
          <w:tcPr>
            <w:tcW w:w="3000" w:type="dxa"/>
            <w:shd w:val="clear" w:color="auto" w:fill="E4F1EE"/>
            <w:tcMar>
              <w:top w:w="120" w:type="dxa"/>
              <w:left w:w="140" w:type="dxa"/>
              <w:bottom w:w="120" w:type="dxa"/>
              <w:right w:w="140" w:type="dxa"/>
            </w:tcMar>
            <w:vAlign w:val="center"/>
          </w:tcPr>
          <w:p w14:paraId="1961AA78" w14:textId="77777777" w:rsidR="005578AA" w:rsidRDefault="005404B5">
            <w:r>
              <w:rPr>
                <w:color w:val="1F2A2E"/>
                <w:sz w:val="19"/>
                <w:szCs w:val="19"/>
              </w:rPr>
              <w:t>Bank Reconciliation</w:t>
            </w:r>
          </w:p>
        </w:tc>
        <w:tc>
          <w:tcPr>
            <w:tcW w:w="6350" w:type="dxa"/>
            <w:shd w:val="clear" w:color="auto" w:fill="E4F1EE"/>
            <w:tcMar>
              <w:top w:w="120" w:type="dxa"/>
              <w:left w:w="140" w:type="dxa"/>
              <w:bottom w:w="120" w:type="dxa"/>
              <w:right w:w="140" w:type="dxa"/>
            </w:tcMar>
            <w:vAlign w:val="center"/>
          </w:tcPr>
          <w:p w14:paraId="52D56AB3" w14:textId="77777777" w:rsidR="005578AA" w:rsidRDefault="005404B5">
            <w:pPr>
              <w:jc w:val="center"/>
            </w:pPr>
            <w:r>
              <w:rPr>
                <w:color w:val="1F2A2E"/>
                <w:sz w:val="19"/>
                <w:szCs w:val="19"/>
              </w:rPr>
              <w:t>Off LLM entirely — deterministic matching by date/amount/reference</w:t>
            </w:r>
          </w:p>
        </w:tc>
      </w:tr>
      <w:tr w:rsidR="005578AA" w14:paraId="48EC5A07" w14:textId="77777777">
        <w:tblPrEx>
          <w:tblCellMar>
            <w:top w:w="0" w:type="dxa"/>
            <w:bottom w:w="0" w:type="dxa"/>
          </w:tblCellMar>
        </w:tblPrEx>
        <w:trPr>
          <w:cantSplit/>
        </w:trPr>
        <w:tc>
          <w:tcPr>
            <w:tcW w:w="3000" w:type="dxa"/>
            <w:tcMar>
              <w:top w:w="120" w:type="dxa"/>
              <w:left w:w="140" w:type="dxa"/>
              <w:bottom w:w="120" w:type="dxa"/>
              <w:right w:w="140" w:type="dxa"/>
            </w:tcMar>
            <w:vAlign w:val="center"/>
          </w:tcPr>
          <w:p w14:paraId="0CF1754E" w14:textId="77777777" w:rsidR="005578AA" w:rsidRDefault="005404B5">
            <w:r>
              <w:rPr>
                <w:color w:val="1F2A2E"/>
                <w:sz w:val="19"/>
                <w:szCs w:val="19"/>
              </w:rPr>
              <w:t>Bookkeeping / Voucher Entry</w:t>
            </w:r>
          </w:p>
        </w:tc>
        <w:tc>
          <w:tcPr>
            <w:tcW w:w="6350" w:type="dxa"/>
            <w:tcMar>
              <w:top w:w="120" w:type="dxa"/>
              <w:left w:w="140" w:type="dxa"/>
              <w:bottom w:w="120" w:type="dxa"/>
              <w:right w:w="140" w:type="dxa"/>
            </w:tcMar>
            <w:vAlign w:val="center"/>
          </w:tcPr>
          <w:p w14:paraId="262DDFB8" w14:textId="77777777" w:rsidR="005578AA" w:rsidRDefault="005404B5">
            <w:pPr>
              <w:jc w:val="center"/>
            </w:pPr>
            <w:r>
              <w:rPr>
                <w:color w:val="1F2A2E"/>
                <w:sz w:val="19"/>
                <w:szCs w:val="19"/>
              </w:rPr>
              <w:t>Reduced — vendor template caching; only new vendors or layout changes need a fresh LLM pass</w:t>
            </w:r>
          </w:p>
        </w:tc>
      </w:tr>
      <w:tr w:rsidR="005578AA" w14:paraId="0222976C" w14:textId="77777777">
        <w:tblPrEx>
          <w:tblCellMar>
            <w:top w:w="0" w:type="dxa"/>
            <w:bottom w:w="0" w:type="dxa"/>
          </w:tblCellMar>
        </w:tblPrEx>
        <w:trPr>
          <w:cantSplit/>
        </w:trPr>
        <w:tc>
          <w:tcPr>
            <w:tcW w:w="3000" w:type="dxa"/>
            <w:shd w:val="clear" w:color="auto" w:fill="E4F1EE"/>
            <w:tcMar>
              <w:top w:w="120" w:type="dxa"/>
              <w:left w:w="140" w:type="dxa"/>
              <w:bottom w:w="120" w:type="dxa"/>
              <w:right w:w="140" w:type="dxa"/>
            </w:tcMar>
            <w:vAlign w:val="center"/>
          </w:tcPr>
          <w:p w14:paraId="2E46A39F" w14:textId="77777777" w:rsidR="005578AA" w:rsidRDefault="005404B5">
            <w:r>
              <w:rPr>
                <w:color w:val="1F2A2E"/>
                <w:sz w:val="19"/>
                <w:szCs w:val="19"/>
              </w:rPr>
              <w:t>Document Intake</w:t>
            </w:r>
          </w:p>
        </w:tc>
        <w:tc>
          <w:tcPr>
            <w:tcW w:w="6350" w:type="dxa"/>
            <w:shd w:val="clear" w:color="auto" w:fill="E4F1EE"/>
            <w:tcMar>
              <w:top w:w="120" w:type="dxa"/>
              <w:left w:w="140" w:type="dxa"/>
              <w:bottom w:w="120" w:type="dxa"/>
              <w:right w:w="140" w:type="dxa"/>
            </w:tcMar>
            <w:vAlign w:val="center"/>
          </w:tcPr>
          <w:p w14:paraId="66FFE5DF" w14:textId="77777777" w:rsidR="005578AA" w:rsidRDefault="005404B5">
            <w:pPr>
              <w:jc w:val="center"/>
            </w:pPr>
            <w:r>
              <w:rPr>
                <w:color w:val="1F2A2E"/>
                <w:sz w:val="19"/>
                <w:szCs w:val="19"/>
              </w:rPr>
              <w:t>Reduced — known senders route via table lookup; LLM only classifies new senders</w:t>
            </w:r>
          </w:p>
        </w:tc>
      </w:tr>
      <w:tr w:rsidR="005578AA" w14:paraId="6D264AB1" w14:textId="77777777">
        <w:tblPrEx>
          <w:tblCellMar>
            <w:top w:w="0" w:type="dxa"/>
            <w:bottom w:w="0" w:type="dxa"/>
          </w:tblCellMar>
        </w:tblPrEx>
        <w:trPr>
          <w:cantSplit/>
        </w:trPr>
        <w:tc>
          <w:tcPr>
            <w:tcW w:w="3000" w:type="dxa"/>
            <w:tcMar>
              <w:top w:w="120" w:type="dxa"/>
              <w:left w:w="140" w:type="dxa"/>
              <w:bottom w:w="120" w:type="dxa"/>
              <w:right w:w="140" w:type="dxa"/>
            </w:tcMar>
            <w:vAlign w:val="center"/>
          </w:tcPr>
          <w:p w14:paraId="0417C3EF" w14:textId="77777777" w:rsidR="005578AA" w:rsidRDefault="005404B5">
            <w:r>
              <w:rPr>
                <w:color w:val="1F2A2E"/>
                <w:sz w:val="19"/>
                <w:szCs w:val="19"/>
              </w:rPr>
              <w:t>Client Communication</w:t>
            </w:r>
          </w:p>
        </w:tc>
        <w:tc>
          <w:tcPr>
            <w:tcW w:w="6350" w:type="dxa"/>
            <w:tcMar>
              <w:top w:w="120" w:type="dxa"/>
              <w:left w:w="140" w:type="dxa"/>
              <w:bottom w:w="120" w:type="dxa"/>
              <w:right w:w="140" w:type="dxa"/>
            </w:tcMar>
            <w:vAlign w:val="center"/>
          </w:tcPr>
          <w:p w14:paraId="1EC4560F" w14:textId="77777777" w:rsidR="005578AA" w:rsidRDefault="005404B5">
            <w:pPr>
              <w:jc w:val="center"/>
            </w:pPr>
            <w:r>
              <w:rPr>
                <w:color w:val="1F2A2E"/>
                <w:sz w:val="19"/>
                <w:szCs w:val="19"/>
              </w:rPr>
              <w:t>Unchanged — genuine judgment/drafting, but model-routed (Sonnet only on an explicit confidence flag)</w:t>
            </w:r>
          </w:p>
        </w:tc>
      </w:tr>
      <w:tr w:rsidR="005578AA" w14:paraId="2F262531" w14:textId="77777777">
        <w:tblPrEx>
          <w:tblCellMar>
            <w:top w:w="0" w:type="dxa"/>
            <w:bottom w:w="0" w:type="dxa"/>
          </w:tblCellMar>
        </w:tblPrEx>
        <w:trPr>
          <w:cantSplit/>
        </w:trPr>
        <w:tc>
          <w:tcPr>
            <w:tcW w:w="3000" w:type="dxa"/>
            <w:shd w:val="clear" w:color="auto" w:fill="E4F1EE"/>
            <w:tcMar>
              <w:top w:w="120" w:type="dxa"/>
              <w:left w:w="140" w:type="dxa"/>
              <w:bottom w:w="120" w:type="dxa"/>
              <w:right w:w="140" w:type="dxa"/>
            </w:tcMar>
            <w:vAlign w:val="center"/>
          </w:tcPr>
          <w:p w14:paraId="710C6B46" w14:textId="77777777" w:rsidR="005578AA" w:rsidRDefault="005404B5">
            <w:r>
              <w:rPr>
                <w:color w:val="1F2A2E"/>
                <w:sz w:val="19"/>
                <w:szCs w:val="19"/>
              </w:rPr>
              <w:t>Working Paper</w:t>
            </w:r>
          </w:p>
        </w:tc>
        <w:tc>
          <w:tcPr>
            <w:tcW w:w="6350" w:type="dxa"/>
            <w:shd w:val="clear" w:color="auto" w:fill="E4F1EE"/>
            <w:tcMar>
              <w:top w:w="120" w:type="dxa"/>
              <w:left w:w="140" w:type="dxa"/>
              <w:bottom w:w="120" w:type="dxa"/>
              <w:right w:w="140" w:type="dxa"/>
            </w:tcMar>
            <w:vAlign w:val="center"/>
          </w:tcPr>
          <w:p w14:paraId="047C49C1" w14:textId="77777777" w:rsidR="005578AA" w:rsidRDefault="005404B5">
            <w:pPr>
              <w:jc w:val="center"/>
            </w:pPr>
            <w:r>
              <w:rPr>
                <w:color w:val="1F2A2E"/>
                <w:sz w:val="19"/>
                <w:szCs w:val="19"/>
              </w:rPr>
              <w:t xml:space="preserve">Reduced — mostly </w:t>
            </w:r>
            <w:proofErr w:type="spellStart"/>
            <w:r>
              <w:rPr>
                <w:color w:val="1F2A2E"/>
                <w:sz w:val="19"/>
                <w:szCs w:val="19"/>
              </w:rPr>
              <w:t>templated</w:t>
            </w:r>
            <w:proofErr w:type="spellEnd"/>
            <w:r>
              <w:rPr>
                <w:color w:val="1F2A2E"/>
                <w:sz w:val="19"/>
                <w:szCs w:val="19"/>
              </w:rPr>
              <w:t xml:space="preserve"> assembly</w:t>
            </w:r>
          </w:p>
        </w:tc>
      </w:tr>
      <w:tr w:rsidR="005578AA" w14:paraId="65596C2B" w14:textId="77777777">
        <w:tblPrEx>
          <w:tblCellMar>
            <w:top w:w="0" w:type="dxa"/>
            <w:bottom w:w="0" w:type="dxa"/>
          </w:tblCellMar>
        </w:tblPrEx>
        <w:trPr>
          <w:cantSplit/>
        </w:trPr>
        <w:tc>
          <w:tcPr>
            <w:tcW w:w="3000" w:type="dxa"/>
            <w:tcMar>
              <w:top w:w="120" w:type="dxa"/>
              <w:left w:w="140" w:type="dxa"/>
              <w:bottom w:w="120" w:type="dxa"/>
              <w:right w:w="140" w:type="dxa"/>
            </w:tcMar>
            <w:vAlign w:val="center"/>
          </w:tcPr>
          <w:p w14:paraId="656D857E" w14:textId="77777777" w:rsidR="005578AA" w:rsidRDefault="005404B5">
            <w:r>
              <w:rPr>
                <w:color w:val="1F2A2E"/>
                <w:sz w:val="19"/>
                <w:szCs w:val="19"/>
              </w:rPr>
              <w:t>Practice Management</w:t>
            </w:r>
          </w:p>
        </w:tc>
        <w:tc>
          <w:tcPr>
            <w:tcW w:w="6350" w:type="dxa"/>
            <w:tcMar>
              <w:top w:w="120" w:type="dxa"/>
              <w:left w:w="140" w:type="dxa"/>
              <w:bottom w:w="120" w:type="dxa"/>
              <w:right w:w="140" w:type="dxa"/>
            </w:tcMar>
            <w:vAlign w:val="center"/>
          </w:tcPr>
          <w:p w14:paraId="35A7118F" w14:textId="77777777" w:rsidR="005578AA" w:rsidRDefault="005404B5">
            <w:pPr>
              <w:jc w:val="center"/>
            </w:pPr>
            <w:r>
              <w:rPr>
                <w:color w:val="1F2A2E"/>
                <w:sz w:val="19"/>
                <w:szCs w:val="19"/>
              </w:rPr>
              <w:t xml:space="preserve">Off LLM entirely — reporting and </w:t>
            </w:r>
            <w:proofErr w:type="spellStart"/>
            <w:r>
              <w:rPr>
                <w:color w:val="1F2A2E"/>
                <w:sz w:val="19"/>
                <w:szCs w:val="19"/>
              </w:rPr>
              <w:t>dashboarding</w:t>
            </w:r>
            <w:proofErr w:type="spellEnd"/>
            <w:r>
              <w:rPr>
                <w:color w:val="1F2A2E"/>
                <w:sz w:val="19"/>
                <w:szCs w:val="19"/>
              </w:rPr>
              <w:t xml:space="preserve"> only</w:t>
            </w:r>
          </w:p>
        </w:tc>
      </w:tr>
    </w:tbl>
    <w:p w14:paraId="3297A9EE" w14:textId="77777777" w:rsidR="005578AA" w:rsidRDefault="005578AA">
      <w:pPr>
        <w:spacing w:after="100"/>
      </w:pPr>
    </w:p>
    <w:p w14:paraId="7F5ED00C" w14:textId="77777777" w:rsidR="005578AA" w:rsidRDefault="005404B5">
      <w:pPr>
        <w:spacing w:after="60"/>
      </w:pPr>
      <w:r>
        <w:rPr>
          <w:b/>
          <w:bCs/>
          <w:color w:val="1F2A2E"/>
          <w:sz w:val="21"/>
          <w:szCs w:val="21"/>
        </w:rPr>
        <w:t xml:space="preserve">Total (ramp-up, months 1–2 per client): ₹57,167 – ₹92,415/month  (~$600–$975)</w:t>
      </w:r>
    </w:p>
    <w:p w14:paraId="73604C39" w14:textId="77777777" w:rsidR="005578AA" w:rsidRDefault="005404B5">
      <w:pPr>
        <w:spacing w:before="60" w:after="200"/>
      </w:pPr>
      <w:r>
        <w:rPr>
          <w:b/>
          <w:bCs/>
          <w:color w:val="0F6B5C"/>
          <w:sz w:val="24"/>
          <w:szCs w:val="24"/>
        </w:rPr>
        <w:t xml:space="preserve">Total (steady state, month 3+): ₹32,667 – ₹61,915/month  (~$345–$650)  —  ₹3.9L – ₹7.4L/year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578AA" w14:paraId="095C87F9" w14:textId="77777777">
        <w:tblPrEx>
          <w:tblCellMar>
            <w:top w:w="0" w:type="dxa"/>
            <w:bottom w:w="0" w:type="dxa"/>
          </w:tblCellMar>
        </w:tblPrEx>
        <w:tc>
          <w:tcPr>
            <w:tcW w:w="9350" w:type="dxa"/>
            <w:shd w:val="clear" w:color="auto" w:fill="FBF1DD"/>
            <w:tcMar>
              <w:top w:w="180" w:type="dxa"/>
              <w:left w:w="220" w:type="dxa"/>
              <w:bottom w:w="180" w:type="dxa"/>
              <w:right w:w="220" w:type="dxa"/>
            </w:tcMar>
          </w:tcPr>
          <w:p w14:paraId="50592E40" w14:textId="77777777" w:rsidR="005578AA" w:rsidRDefault="005404B5">
            <w:pPr>
              <w:spacing w:after="60"/>
            </w:pPr>
            <w:r>
              <w:rPr>
                <w:b/>
                <w:bCs/>
                <w:color w:val="B8860B"/>
                <w:sz w:val="21"/>
                <w:szCs w:val="21"/>
              </w:rPr>
              <w:t xml:space="preserve">What's verified vs. modelled</w:t>
            </w:r>
            <w:proofErr w:type="spellStart"/>
            <w:proofErr w:type="spellEnd"/>
          </w:p>
          <w:p w14:paraId="08503DB9" w14:textId="77777777" w:rsidR="005578AA" w:rsidRDefault="005404B5">
            <w:pPr>
              <w:spacing w:line="280" w:lineRule="auto"/>
            </w:pPr>
            <w:r>
              <w:rPr>
                <w:color w:val="1F2A2E"/>
                <w:sz w:val="21"/>
                <w:szCs w:val="21"/>
              </w:rPr>
              <w:t xml:space="preserve">Every AWS rate above was taken from AWS's published ap-south-1 price list on 21 September 2026 — compute, database, storage, logging, secrets, DNS, email and data transfer. One line is an estimate rather than a quoted rate: EBS instance storage, at roughly 2–4% of the total. What is modelled rather than quoted is the usage behind those rates: document volume, and the LLM call volume that follows from it. The OCR compute line is sized from measured throughput and moves directly with document count. The steady-state LLM range reflects ADR 0012's mechanisms (deterministic agents, template caching, prompt caching) but is a directional re-allocation, not a vendor-metered number. Actual document volume, the vendor-repeat rate that drives Bookkeeping's cache hit rate, and the deterministic-vs-LLM split all need to be confirmed during the pilot before this range is locked in.</w:t>
            </w:r>
          </w:p>
        </w:tc>
      </w:tr>
    </w:tbl>
    <w:p w14:paraId="3DD923EA" w14:textId="77777777" w:rsidR="005578AA" w:rsidRDefault="005404B5">
      <w:pPr>
        <w:pStyle w:val="Heading2"/>
        <w:spacing w:before="260" w:after="100"/>
      </w:pPr>
      <w:r>
        <w:rPr>
          <w:b/>
          <w:bCs/>
          <w:color w:val="1F2A2E"/>
          <w:sz w:val="22"/>
          <w:szCs w:val="22"/>
        </w:rPr>
        <w:t>Recurring cost assumptions</w:t>
      </w:r>
    </w:p>
    <w:p w:rsidR="005578AA" w:rsidRDefault="005404B5">
      <w:pPr>
        <w:pStyle w:val="ListParagraph"/>
        <w:numPr>
          <w:ilvl w:val="0"/>
          <w:numId w:val="1"/>
        </w:numPr>
        <w:spacing w:after="90" w:line="280" w:lineRule="auto"/>
      </w:pPr>
      <w:r>
        <w:rPr>
          <w:color w:val="1F2A2E"/>
          <w:sz w:val="21"/>
          <w:szCs w:val="21"/>
        </w:rPr>
        <w:t xml:space="preserve">Deployed single-tenant on AWS ap-south-1 (Mumbai), one environment per practice; the fixed infrastructure floor recurs per firm and does not amortise across customers</w:t>
      </w:r>
    </w:p>
    <w:p w:rsidR="005578AA" w:rsidRDefault="005404B5">
      <w:pPr>
        <w:pStyle w:val="ListParagraph"/>
        <w:numPr>
          <w:ilvl w:val="0"/>
          <w:numId w:val="1"/>
        </w:numPr>
        <w:spacing w:after="90" w:line="280" w:lineRule="auto"/>
      </w:pPr>
      <w:r>
        <w:rPr>
          <w:color w:val="1F2A2E"/>
          <w:sz w:val="21"/>
          <w:szCs w:val="21"/>
        </w:rPr>
        <w:t xml:space="preserve">500 active clients averaging 50–100 source documents per client per month (planning figure ~37,500/month). This estimate has been validated with the practice; actual volumes will be measured during the pilot and the OCR compute line scales with them</w:t>
      </w:r>
    </w:p>
    <w:p w:rsidR="005578AA" w:rsidRDefault="005404B5">
      <w:pPr>
        <w:pStyle w:val="ListParagraph"/>
        <w:numPr>
          <w:ilvl w:val="0"/>
          <w:numId w:val="1"/>
        </w:numPr>
        <w:spacing w:after="90" w:line="280" w:lineRule="auto"/>
      </w:pPr>
      <w:r>
        <w:rPr>
          <w:color w:val="1F2A2E"/>
          <w:sz w:val="21"/>
          <w:szCs w:val="21"/>
        </w:rPr>
        <w:t xml:space="preserve">Document mix: 60% invoices/receipts, 40% bank statement pages</w:t>
      </w:r>
    </w:p>
    <w:p w:rsidR="005578AA" w:rsidRDefault="005404B5">
      <w:pPr>
        <w:pStyle w:val="ListParagraph"/>
        <w:numPr>
          <w:ilvl w:val="0"/>
          <w:numId w:val="1"/>
        </w:numPr>
        <w:spacing w:after="90" w:line="280" w:lineRule="auto"/>
      </w:pPr>
      <w:r>
        <w:rPr>
          <w:color w:val="1F2A2E"/>
          <w:sz w:val="21"/>
          <w:szCs w:val="21"/>
        </w:rPr>
        <w:t xml:space="preserve">OCR runs self-hosted on CPU per ADR 0008. OCR compute is sized from early throughput measurements, to be confirmed during Phase 0/1</w:t>
      </w:r>
    </w:p>
    <w:p w:rsidR="005578AA" w:rsidRDefault="005404B5">
      <w:pPr>
        <w:pStyle w:val="ListParagraph"/>
        <w:numPr>
          <w:ilvl w:val="0"/>
          <w:numId w:val="1"/>
        </w:numPr>
        <w:spacing w:after="90" w:line="280" w:lineRule="auto"/>
      </w:pPr>
      <w:r>
        <w:rPr>
          <w:color w:val="1F2A2E"/>
          <w:sz w:val="21"/>
          <w:szCs w:val="21"/>
        </w:rPr>
        <w:t xml:space="preserve">Documents remain in the practice's Dropbox per ADR 0004; AWS object storage holds OCR intermediates and backups only</w:t>
      </w:r>
    </w:p>
    <w:p w:rsidR="005578AA" w:rsidRDefault="005404B5">
      <w:pPr>
        <w:pStyle w:val="ListParagraph"/>
        <w:numPr>
          <w:ilvl w:val="0"/>
          <w:numId w:val="1"/>
        </w:numPr>
        <w:spacing w:after="90" w:line="280" w:lineRule="auto"/>
      </w:pPr>
      <w:r>
        <w:rPr>
          <w:color w:val="1F2A2E"/>
          <w:sz w:val="21"/>
          <w:szCs w:val="21"/>
        </w:rPr>
        <w:t xml:space="preserve">Daily automated database backups are included up to the size of the database; storage beyond that is charged at the rate above. No continuous point-in-time-recovery add-on</w:t>
      </w:r>
    </w:p>
    <w:p w:rsidR="005578AA" w:rsidRDefault="005404B5">
      <w:pPr>
        <w:pStyle w:val="ListParagraph"/>
        <w:numPr>
          <w:ilvl w:val="0"/>
          <w:numId w:val="1"/>
        </w:numPr>
        <w:spacing w:after="90" w:line="280" w:lineRule="auto"/>
      </w:pPr>
      <w:r>
        <w:rPr>
          <w:color w:val="1F2A2E"/>
          <w:sz w:val="21"/>
          <w:szCs w:val="21"/>
        </w:rPr>
        <w:t xml:space="preserve">Communications are email-only via AWS SES; no WhatsApp/SMS costs</w:t>
      </w:r>
    </w:p>
    <w:p w:rsidR="005578AA" w:rsidRDefault="005404B5">
      <w:pPr>
        <w:pStyle w:val="ListParagraph"/>
        <w:numPr>
          <w:ilvl w:val="0"/>
          <w:numId w:val="1"/>
        </w:numPr>
        <w:spacing w:after="90" w:line="280" w:lineRule="auto"/>
      </w:pPr>
      <w:r>
        <w:rPr>
          <w:color w:val="1F2A2E"/>
          <w:sz w:val="21"/>
          <w:szCs w:val="21"/>
        </w:rPr>
        <w:t xml:space="preserve">LLM cost reflects ADR 0012: 4 of 9 agents run deterministically with no LLM call; Bookkeeping uses vendor template caching after each vendor's first occurrence; remaining calls use prompt caching and Haiku-by-default/Sonnet-on-flag routing. LLM usage is billed directly by the model provider, not through AWS</w:t>
      </w:r>
    </w:p>
    <w:p w:rsidR="005578AA" w:rsidRDefault="005404B5">
      <w:pPr>
        <w:pStyle w:val="ListParagraph"/>
        <w:numPr>
          <w:ilvl w:val="0"/>
          <w:numId w:val="1"/>
        </w:numPr>
        <w:spacing w:after="90" w:line="280" w:lineRule="auto"/>
      </w:pPr>
      <w:r>
        <w:rPr>
          <w:color w:val="1F2A2E"/>
          <w:sz w:val="21"/>
          <w:szCs w:val="21"/>
        </w:rPr>
        <w:t xml:space="preserve">AI/LLM cost ranges are modelled at the 37,500 documents/month planning figure; at the ends of the volume range they will move proportionally within the ranges shown</w:t>
      </w:r>
    </w:p>
    <w:p w:rsidR="005578AA" w:rsidRDefault="005404B5">
      <w:pPr>
        <w:pStyle w:val="ListParagraph"/>
        <w:numPr>
          <w:ilvl w:val="0"/>
          <w:numId w:val="1"/>
        </w:numPr>
        <w:spacing w:after="90" w:line="280" w:lineRule="auto"/>
      </w:pPr>
      <w:r>
        <w:rPr>
          <w:color w:val="1F2A2E"/>
          <w:sz w:val="21"/>
          <w:szCs w:val="21"/>
        </w:rPr>
        <w:t xml:space="preserve">Ramp-up period (client's first 1–2 months) runs closer to the pre-optimisation baseline, since vendor templates haven't built up yet — steady state is reached as the client base matures</w:t>
      </w:r>
    </w:p>
    <w:p w:rsidR="005578AA" w:rsidRDefault="005404B5">
      <w:pPr>
        <w:pStyle w:val="ListParagraph"/>
        <w:numPr>
          <w:ilvl w:val="0"/>
          <w:numId w:val="1"/>
        </w:numPr>
        <w:spacing w:after="90" w:line="280" w:lineRule="auto"/>
      </w:pPr>
      <w:r>
        <w:rPr>
          <w:color w:val="1F2A2E"/>
          <w:sz w:val="21"/>
          <w:szCs w:val="21"/>
        </w:rPr>
        <w:t xml:space="preserve">A 1-year AWS Savings Plan could reduce compute costs by roughly 30%, once volumes are established</w:t>
      </w:r>
    </w:p>
    <w:p w:rsidR="005578AA" w:rsidRDefault="005404B5">
      <w:pPr>
        <w:pStyle w:val="ListParagraph"/>
        <w:numPr>
          <w:ilvl w:val="0"/>
          <w:numId w:val="1"/>
        </w:numPr>
        <w:spacing w:after="90" w:line="280" w:lineRule="auto"/>
      </w:pPr>
      <w:r>
        <w:rPr>
          <w:color w:val="1F2A2E"/>
          <w:sz w:val="21"/>
          <w:szCs w:val="21"/>
        </w:rPr>
        <w:t xml:space="preserve">No support or maintenance retainer is included beyond the warranty in Section 10 — these are infrastructure and third-party usage costs only</w:t>
      </w:r>
    </w:p>
    <w:p w:rsidR="005578AA" w:rsidRDefault="005404B5">
      <w:pPr>
        <w:pStyle w:val="ListParagraph"/>
        <w:numPr>
          <w:ilvl w:val="0"/>
          <w:numId w:val="1"/>
        </w:numPr>
        <w:spacing w:after="90" w:line="280" w:lineRule="auto"/>
      </w:pPr>
      <w:r>
        <w:rPr>
          <w:color w:val="1F2A2E"/>
          <w:sz w:val="21"/>
          <w:szCs w:val="21"/>
        </w:rPr>
        <w:t xml:space="preserve">Excludes Tally/Zoho Books licence fees, which remain the practice's existing subscription</w:t>
      </w:r>
    </w:p>
    <w:p w:rsidR="005578AA" w:rsidRDefault="005404B5">
      <w:pPr>
        <w:pStyle w:val="ListParagraph"/>
        <w:numPr>
          <w:ilvl w:val="0"/>
          <w:numId w:val="1"/>
        </w:numPr>
        <w:spacing w:after="90" w:line="280" w:lineRule="auto"/>
      </w:pPr>
      <w:r>
        <w:rPr>
          <w:color w:val="1F2A2E"/>
          <w:sz w:val="21"/>
          <w:szCs w:val="21"/>
        </w:rPr>
        <w:t xml:space="preserve">AWS charges are exclusive of GST. AWS services billed to an Indian entity are invoiced by AWS India and attract GST at the prevailing rate (currently 18%), consistent with Section 8</w:t>
      </w:r>
    </w:p>
    <w:p w:rsidR="005578AA" w:rsidRDefault="005404B5">
      <w:pPr>
        <w:pStyle w:val="ListParagraph"/>
        <w:numPr>
          <w:ilvl w:val="0"/>
          <w:numId w:val="1"/>
        </w:numPr>
        <w:spacing w:after="90" w:line="280" w:lineRule="auto"/>
      </w:pPr>
      <w:r>
        <w:rPr>
          <w:color w:val="1F2A2E"/>
          <w:sz w:val="21"/>
          <w:szCs w:val="21"/>
        </w:rPr>
        <w:t xml:space="preserve">USD–INR conversion at ~₹95/USD (September 2026); this line moves with FX and should be re-checked periodically</w:t>
      </w:r>
    </w:p>
    <w:p w:rsidR="005578AA" w:rsidRDefault="005404B5">
      <w:pPr>
        <w:pStyle w:val="ListParagraph"/>
        <w:numPr>
          <w:ilvl w:val="0"/>
          <w:numId w:val="1"/>
        </w:numPr>
        <w:spacing w:after="90" w:line="280" w:lineRule="auto"/>
      </w:pPr>
      <w:r>
        <w:rPr>
          <w:color w:val="1F2A2E"/>
          <w:sz w:val="21"/>
          <w:szCs w:val="21"/>
        </w:rPr>
        <w:t xml:space="preserve">Pilot scale (~100 clients) is not proportionally cheaper: at roughly ₹22,000 – ₹25,000/month it is about 44% of full-scale cost, because the fixed floor dominates</w:t>
      </w:r>
    </w:p>
    <w:p w:rsidR="005578AA" w:rsidRDefault="005404B5">
      <w:pPr>
        <w:pStyle w:val="Heading1"/>
        <w:pBdr>
          <w:bottom w:val="single" w:sz="8" w:space="4" w:color="0F6B5C"/>
        </w:pBdr>
        <w:spacing w:before="380" w:after="160"/>
      </w:pPr>
      <w:r>
        <w:rPr>
          <w:b/>
          <w:bCs/>
          <w:color w:val="0F6B5C"/>
          <w:sz w:val="28"/>
          <w:szCs w:val="28"/>
        </w:rPr>
        <w:t xml:space="preserve">10. Support, Training, Warranty &amp; Licensing</w:t>
      </w:r>
    </w:p>
    <w:p w:rsidR="005578AA" w:rsidRDefault="005404B5">
      <w:pPr>
        <w:pStyle w:val="Heading2"/>
        <w:spacing w:before="260" w:after="100"/>
      </w:pPr>
      <w:r>
        <w:rPr>
          <w:b/>
          <w:bCs/>
          <w:color w:val="1F2A2E"/>
          <w:sz w:val="22"/>
          <w:szCs w:val="22"/>
        </w:rPr>
        <w:t xml:space="preserve">10.1 Defect severity and service levels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250"/>
        <w:gridCol w:w="1800"/>
        <w:gridCol w:w="1800"/>
      </w:tblGrid>
      <w:tr w:rsidR="005578AA">
        <w:tblPrEx>
          <w:tblCellMar>
            <w:top w:w="0" w:type="dxa"/>
            <w:bottom w:w="0" w:type="dxa"/>
          </w:tblCellMar>
        </w:tblPrEx>
        <w:trPr>
          <w:cantSplit/>
          <w:tblHeader/>
        </w:trPr>
        <w:tc>
          <w:tcPr>
            <w:tcW w:w="1500" w:type="dxa"/>
            <w:shd w:val="clear" w:color="auto" w:fill="0F6B5C"/>
            <w:tcMar>
              <w:top w:w="120" w:type="dxa"/>
              <w:left w:w="140" w:type="dxa"/>
              <w:bottom w:w="120" w:type="dxa"/>
              <w:right w:w="140" w:type="dxa"/>
            </w:tcMar>
            <w:vAlign w:val="center"/>
          </w:tcPr>
          <w:p w:rsidR="005578AA" w:rsidRDefault="005404B5">
            <w:r>
              <w:rPr>
                <w:b/>
                <w:bCs/>
                <w:color w:val="FFFFFF"/>
                <w:sz w:val="19"/>
                <w:szCs w:val="19"/>
              </w:rPr>
              <w:t xml:space="preserve">Severity</w:t>
            </w:r>
          </w:p>
        </w:tc>
        <w:tc>
          <w:tcPr>
            <w:tcW w:w="4250" w:type="dxa"/>
            <w:shd w:val="clear" w:color="auto" w:fill="0F6B5C"/>
            <w:tcMar>
              <w:top w:w="120" w:type="dxa"/>
              <w:left w:w="140" w:type="dxa"/>
              <w:bottom w:w="120" w:type="dxa"/>
              <w:right w:w="140" w:type="dxa"/>
            </w:tcMar>
            <w:vAlign w:val="center"/>
          </w:tcPr>
          <w:p w:rsidR="005578AA" w:rsidRDefault="005404B5">
            <w:pPr>
              <w:jc w:val="center"/>
            </w:pPr>
            <w:r>
              <w:rPr>
                <w:b/>
                <w:bCs/>
                <w:color w:val="FFFFFF"/>
                <w:sz w:val="19"/>
                <w:szCs w:val="19"/>
              </w:rPr>
              <w:t xml:space="preserve">Definition</w:t>
            </w:r>
          </w:p>
        </w:tc>
        <w:tc>
          <w:tcPr>
            <w:tcW w:w="1800" w:type="dxa"/>
            <w:shd w:val="clear" w:color="auto" w:fill="0F6B5C"/>
            <w:tcMar>
              <w:top w:w="120" w:type="dxa"/>
              <w:left w:w="140" w:type="dxa"/>
              <w:bottom w:w="120" w:type="dxa"/>
              <w:right w:w="140" w:type="dxa"/>
            </w:tcMar>
            <w:vAlign w:val="center"/>
          </w:tcPr>
          <w:p w:rsidR="005578AA" w:rsidRDefault="005404B5">
            <w:pPr>
              <w:jc w:val="center"/>
            </w:pPr>
            <w:r>
              <w:rPr>
                <w:b/>
                <w:bCs/>
                <w:color w:val="FFFFFF"/>
                <w:sz w:val="19"/>
                <w:szCs w:val="19"/>
              </w:rPr>
              <w:t xml:space="preserve">Response</w:t>
            </w:r>
          </w:p>
        </w:tc>
        <w:tc>
          <w:tcPr>
            <w:tcW w:w="1800" w:type="dxa"/>
            <w:shd w:val="clear" w:color="auto" w:fill="0F6B5C"/>
            <w:tcMar>
              <w:top w:w="120" w:type="dxa"/>
              <w:left w:w="140" w:type="dxa"/>
              <w:bottom w:w="120" w:type="dxa"/>
              <w:right w:w="140" w:type="dxa"/>
            </w:tcMar>
            <w:vAlign w:val="center"/>
          </w:tcPr>
          <w:p w:rsidR="005578AA" w:rsidRDefault="005404B5">
            <w:pPr>
              <w:jc w:val="center"/>
            </w:pPr>
            <w:r>
              <w:rPr>
                <w:b/>
                <w:bCs/>
                <w:color w:val="FFFFFF"/>
                <w:sz w:val="19"/>
                <w:szCs w:val="19"/>
              </w:rPr>
              <w:t xml:space="preserve">Resolution / workaround</w:t>
            </w:r>
          </w:p>
        </w:tc>
      </w:tr>
      <w:tr w:rsidR="005578AA">
        <w:tblPrEx>
          <w:tblCellMar>
            <w:top w:w="0" w:type="dxa"/>
            <w:bottom w:w="0" w:type="dxa"/>
          </w:tblCellMar>
        </w:tblPrEx>
        <w:trPr>
          <w:cantSplit/>
        </w:trPr>
        <w:tc>
          <w:tcPr>
            <w:tcW w:w="1500" w:type="dxa"/>
            <w:tcMar>
              <w:top w:w="120" w:type="dxa"/>
              <w:left w:w="140" w:type="dxa"/>
              <w:bottom w:w="120" w:type="dxa"/>
              <w:right w:w="140" w:type="dxa"/>
            </w:tcMar>
            <w:vAlign w:val="center"/>
          </w:tcPr>
          <w:p w:rsidR="005578AA" w:rsidRDefault="005404B5">
            <w:r>
              <w:rPr>
                <w:color w:val="1F2A2E"/>
                <w:sz w:val="19"/>
                <w:szCs w:val="19"/>
              </w:rPr>
              <w:t xml:space="preserve">S1: Critical</w:t>
            </w:r>
          </w:p>
        </w:tc>
        <w:tc>
          <w:tcPr>
            <w:tcW w:w="4250" w:type="dxa"/>
            <w:tcMar>
              <w:top w:w="120" w:type="dxa"/>
              <w:left w:w="140" w:type="dxa"/>
              <w:bottom w:w="120" w:type="dxa"/>
              <w:right w:w="140" w:type="dxa"/>
            </w:tcMar>
            <w:vAlign w:val="center"/>
          </w:tcPr>
          <w:p w:rsidR="005578AA" w:rsidRDefault="005404B5">
            <w:pPr>
              <w:jc w:val="center"/>
            </w:pPr>
            <w:r>
              <w:rPr>
                <w:color w:val="1F2A2E"/>
                <w:sz w:val="19"/>
                <w:szCs w:val="19"/>
              </w:rPr>
              <w:t xml:space="preserve">Platform unavailable, data loss or corruption, incorrect postings to Tally/Zoho, or compliance output producing wrong filing figures. No workaround exists.</w:t>
            </w:r>
          </w:p>
        </w:tc>
        <w:tc>
          <w:tcPr>
            <w:tcW w:w="1800" w:type="dxa"/>
            <w:tcMar>
              <w:top w:w="120" w:type="dxa"/>
              <w:left w:w="140" w:type="dxa"/>
              <w:bottom w:w="120" w:type="dxa"/>
              <w:right w:w="140" w:type="dxa"/>
            </w:tcMar>
            <w:vAlign w:val="center"/>
          </w:tcPr>
          <w:p w:rsidR="005578AA" w:rsidRDefault="005404B5">
            <w:pPr>
              <w:jc w:val="center"/>
            </w:pPr>
            <w:r>
              <w:rPr>
                <w:color w:val="1F2A2E"/>
                <w:sz w:val="19"/>
                <w:szCs w:val="19"/>
              </w:rPr>
              <w:t xml:space="preserve">2 business hours</w:t>
            </w:r>
          </w:p>
        </w:tc>
        <w:tc>
          <w:tcPr>
            <w:tcW w:w="1800" w:type="dxa"/>
            <w:tcMar>
              <w:top w:w="120" w:type="dxa"/>
              <w:left w:w="140" w:type="dxa"/>
              <w:bottom w:w="120" w:type="dxa"/>
              <w:right w:w="140" w:type="dxa"/>
            </w:tcMar>
            <w:vAlign w:val="center"/>
          </w:tcPr>
          <w:p w:rsidR="005578AA" w:rsidRDefault="005404B5">
            <w:pPr>
              <w:jc w:val="center"/>
            </w:pPr>
            <w:r>
              <w:rPr>
                <w:color w:val="1F2A2E"/>
                <w:sz w:val="19"/>
                <w:szCs w:val="19"/>
              </w:rPr>
              <w:t xml:space="preserve">1 business day</w:t>
            </w:r>
          </w:p>
        </w:tc>
      </w:tr>
      <w:tr w:rsidR="005578AA">
        <w:tblPrEx>
          <w:tblCellMar>
            <w:top w:w="0" w:type="dxa"/>
            <w:bottom w:w="0" w:type="dxa"/>
          </w:tblCellMar>
        </w:tblPrEx>
        <w:trPr>
          <w:cantSplit/>
        </w:trPr>
        <w:tc>
          <w:tcPr>
            <w:tcW w:w="1500" w:type="dxa"/>
            <w:tcMar>
              <w:top w:w="120" w:type="dxa"/>
              <w:left w:w="140" w:type="dxa"/>
              <w:bottom w:w="120" w:type="dxa"/>
              <w:right w:w="140" w:type="dxa"/>
            </w:tcMar>
            <w:vAlign w:val="center"/>
          </w:tcPr>
          <w:p w:rsidR="005578AA" w:rsidRDefault="005404B5">
            <w:r>
              <w:rPr>
                <w:color w:val="1F2A2E"/>
                <w:sz w:val="19"/>
                <w:szCs w:val="19"/>
              </w:rPr>
              <w:t xml:space="preserve">S2: High</w:t>
            </w:r>
          </w:p>
        </w:tc>
        <w:tc>
          <w:tcPr>
            <w:tcW w:w="4250" w:type="dxa"/>
            <w:tcMar>
              <w:top w:w="120" w:type="dxa"/>
              <w:left w:w="140" w:type="dxa"/>
              <w:bottom w:w="120" w:type="dxa"/>
              <w:right w:w="140" w:type="dxa"/>
            </w:tcMar>
            <w:vAlign w:val="center"/>
          </w:tcPr>
          <w:p w:rsidR="005578AA" w:rsidRDefault="005404B5">
            <w:pPr>
              <w:jc w:val="center"/>
            </w:pPr>
            <w:r>
              <w:rPr>
                <w:color w:val="1F2A2E"/>
                <w:sz w:val="19"/>
                <w:szCs w:val="19"/>
              </w:rPr>
              <w:t xml:space="preserve">A major agent or function is impaired, but a workaround exists</w:t>
            </w:r>
          </w:p>
        </w:tc>
        <w:tc>
          <w:tcPr>
            <w:tcW w:w="1800" w:type="dxa"/>
            <w:tcMar>
              <w:top w:w="120" w:type="dxa"/>
              <w:left w:w="140" w:type="dxa"/>
              <w:bottom w:w="120" w:type="dxa"/>
              <w:right w:w="140" w:type="dxa"/>
            </w:tcMar>
            <w:vAlign w:val="center"/>
          </w:tcPr>
          <w:p w:rsidR="005578AA" w:rsidRDefault="005404B5">
            <w:pPr>
              <w:jc w:val="center"/>
            </w:pPr>
            <w:r>
              <w:rPr>
                <w:color w:val="1F2A2E"/>
                <w:sz w:val="19"/>
                <w:szCs w:val="19"/>
              </w:rPr>
              <w:t xml:space="preserve">4 business hours</w:t>
            </w:r>
          </w:p>
        </w:tc>
        <w:tc>
          <w:tcPr>
            <w:tcW w:w="1800" w:type="dxa"/>
            <w:tcMar>
              <w:top w:w="120" w:type="dxa"/>
              <w:left w:w="140" w:type="dxa"/>
              <w:bottom w:w="120" w:type="dxa"/>
              <w:right w:w="140" w:type="dxa"/>
            </w:tcMar>
            <w:vAlign w:val="center"/>
          </w:tcPr>
          <w:p w:rsidR="005578AA" w:rsidRDefault="005404B5">
            <w:pPr>
              <w:jc w:val="center"/>
            </w:pPr>
            <w:r>
              <w:rPr>
                <w:color w:val="1F2A2E"/>
                <w:sz w:val="19"/>
                <w:szCs w:val="19"/>
              </w:rPr>
              <w:t xml:space="preserve">3 business days</w:t>
            </w:r>
          </w:p>
        </w:tc>
      </w:tr>
      <w:tr w:rsidR="005578AA">
        <w:tblPrEx>
          <w:tblCellMar>
            <w:top w:w="0" w:type="dxa"/>
            <w:bottom w:w="0" w:type="dxa"/>
          </w:tblCellMar>
        </w:tblPrEx>
        <w:trPr>
          <w:cantSplit/>
        </w:trPr>
        <w:tc>
          <w:tcPr>
            <w:tcW w:w="1500" w:type="dxa"/>
            <w:tcMar>
              <w:top w:w="120" w:type="dxa"/>
              <w:left w:w="140" w:type="dxa"/>
              <w:bottom w:w="120" w:type="dxa"/>
              <w:right w:w="140" w:type="dxa"/>
            </w:tcMar>
            <w:vAlign w:val="center"/>
          </w:tcPr>
          <w:p w:rsidR="005578AA" w:rsidRDefault="005404B5">
            <w:r>
              <w:rPr>
                <w:color w:val="1F2A2E"/>
                <w:sz w:val="19"/>
                <w:szCs w:val="19"/>
              </w:rPr>
              <w:t xml:space="preserve">S3: Medium</w:t>
            </w:r>
          </w:p>
        </w:tc>
        <w:tc>
          <w:tcPr>
            <w:tcW w:w="4250" w:type="dxa"/>
            <w:tcMar>
              <w:top w:w="120" w:type="dxa"/>
              <w:left w:w="140" w:type="dxa"/>
              <w:bottom w:w="120" w:type="dxa"/>
              <w:right w:w="140" w:type="dxa"/>
            </w:tcMar>
            <w:vAlign w:val="center"/>
          </w:tcPr>
          <w:p w:rsidR="005578AA" w:rsidRDefault="005404B5">
            <w:pPr>
              <w:jc w:val="center"/>
            </w:pPr>
            <w:r>
              <w:rPr>
                <w:color w:val="1F2A2E"/>
                <w:sz w:val="19"/>
                <w:szCs w:val="19"/>
              </w:rPr>
              <w:t xml:space="preserve">Minor function or UI issue affecting normal use</w:t>
            </w:r>
          </w:p>
        </w:tc>
        <w:tc>
          <w:tcPr>
            <w:tcW w:w="1800" w:type="dxa"/>
            <w:tcMar>
              <w:top w:w="120" w:type="dxa"/>
              <w:left w:w="140" w:type="dxa"/>
              <w:bottom w:w="120" w:type="dxa"/>
              <w:right w:w="140" w:type="dxa"/>
            </w:tcMar>
            <w:vAlign w:val="center"/>
          </w:tcPr>
          <w:p w:rsidR="005578AA" w:rsidRDefault="005404B5">
            <w:pPr>
              <w:jc w:val="center"/>
            </w:pPr>
            <w:r>
              <w:rPr>
                <w:color w:val="1F2A2E"/>
                <w:sz w:val="19"/>
                <w:szCs w:val="19"/>
              </w:rPr>
              <w:t xml:space="preserve">1 business day</w:t>
            </w:r>
          </w:p>
        </w:tc>
        <w:tc>
          <w:tcPr>
            <w:tcW w:w="1800" w:type="dxa"/>
            <w:tcMar>
              <w:top w:w="120" w:type="dxa"/>
              <w:left w:w="140" w:type="dxa"/>
              <w:bottom w:w="120" w:type="dxa"/>
              <w:right w:w="140" w:type="dxa"/>
            </w:tcMar>
            <w:vAlign w:val="center"/>
          </w:tcPr>
          <w:p w:rsidR="005578AA" w:rsidRDefault="005404B5">
            <w:pPr>
              <w:jc w:val="center"/>
            </w:pPr>
            <w:r>
              <w:rPr>
                <w:color w:val="1F2A2E"/>
                <w:sz w:val="19"/>
                <w:szCs w:val="19"/>
              </w:rPr>
              <w:t xml:space="preserve">10 business days or next release</w:t>
            </w:r>
          </w:p>
        </w:tc>
      </w:tr>
      <w:tr w:rsidR="005578AA">
        <w:tblPrEx>
          <w:tblCellMar>
            <w:top w:w="0" w:type="dxa"/>
            <w:bottom w:w="0" w:type="dxa"/>
          </w:tblCellMar>
        </w:tblPrEx>
        <w:trPr>
          <w:cantSplit/>
        </w:trPr>
        <w:tc>
          <w:tcPr>
            <w:tcW w:w="1500" w:type="dxa"/>
            <w:tcMar>
              <w:top w:w="120" w:type="dxa"/>
              <w:left w:w="140" w:type="dxa"/>
              <w:bottom w:w="120" w:type="dxa"/>
              <w:right w:w="140" w:type="dxa"/>
            </w:tcMar>
            <w:vAlign w:val="center"/>
          </w:tcPr>
          <w:p w:rsidR="005578AA" w:rsidRDefault="005404B5">
            <w:r>
              <w:rPr>
                <w:color w:val="1F2A2E"/>
                <w:sz w:val="19"/>
                <w:szCs w:val="19"/>
              </w:rPr>
              <w:t xml:space="preserve">S4: Low</w:t>
            </w:r>
          </w:p>
        </w:tc>
        <w:tc>
          <w:tcPr>
            <w:tcW w:w="4250" w:type="dxa"/>
            <w:tcMar>
              <w:top w:w="120" w:type="dxa"/>
              <w:left w:w="140" w:type="dxa"/>
              <w:bottom w:w="120" w:type="dxa"/>
              <w:right w:w="140" w:type="dxa"/>
            </w:tcMar>
            <w:vAlign w:val="center"/>
          </w:tcPr>
          <w:p w:rsidR="005578AA" w:rsidRDefault="005404B5">
            <w:pPr>
              <w:jc w:val="center"/>
            </w:pPr>
            <w:r>
              <w:rPr>
                <w:color w:val="1F2A2E"/>
                <w:sz w:val="19"/>
                <w:szCs w:val="19"/>
              </w:rPr>
              <w:t xml:space="preserve">Cosmetic issue or documentation error</w:t>
            </w:r>
          </w:p>
        </w:tc>
        <w:tc>
          <w:tcPr>
            <w:tcW w:w="1800" w:type="dxa"/>
            <w:tcMar>
              <w:top w:w="120" w:type="dxa"/>
              <w:left w:w="140" w:type="dxa"/>
              <w:bottom w:w="120" w:type="dxa"/>
              <w:right w:w="140" w:type="dxa"/>
            </w:tcMar>
            <w:vAlign w:val="center"/>
          </w:tcPr>
          <w:p w:rsidR="005578AA" w:rsidRDefault="005404B5">
            <w:pPr>
              <w:jc w:val="center"/>
            </w:pPr>
            <w:r>
              <w:rPr>
                <w:color w:val="1F2A2E"/>
                <w:sz w:val="19"/>
                <w:szCs w:val="19"/>
              </w:rPr>
              <w:t xml:space="preserve">2 business days</w:t>
            </w:r>
          </w:p>
        </w:tc>
        <w:tc>
          <w:tcPr>
            <w:tcW w:w="1800" w:type="dxa"/>
            <w:tcMar>
              <w:top w:w="120" w:type="dxa"/>
              <w:left w:w="140" w:type="dxa"/>
              <w:bottom w:w="120" w:type="dxa"/>
              <w:right w:w="140" w:type="dxa"/>
            </w:tcMar>
            <w:vAlign w:val="center"/>
          </w:tcPr>
          <w:p w:rsidR="005578AA" w:rsidRDefault="005404B5">
            <w:pPr>
              <w:jc w:val="center"/>
            </w:pPr>
            <w:r>
              <w:rPr>
                <w:color w:val="1F2A2E"/>
                <w:sz w:val="19"/>
                <w:szCs w:val="19"/>
              </w:rPr>
              <w:t xml:space="preserve">Scheduled release</w:t>
            </w:r>
          </w:p>
        </w:tc>
      </w:tr>
    </w:tbl>
    <w:p w:rsidR="005578AA" w:rsidRDefault="005404B5">
      <w:pPr>
        <w:spacing w:after="160" w:line="300" w:lineRule="auto"/>
      </w:pPr>
      <w:r>
        <w:rPr>
          <w:color w:val="1F2A2E"/>
          <w:sz w:val="21"/>
          <w:szCs w:val="21"/>
        </w:rPr>
        <w:t xml:space="preserve">Filing-deadline cover. On statutory due dates (GSTR-1, GSTR-3B, and quarterly TDS/TCS returns), S1 support is extended to 21:00 IST, including when a due date falls on a Sunday or holiday.</w:t>
      </w:r>
      <w:proofErr w:type="spellStart"/>
      <w:proofErr w:type="spellEnd"/>
    </w:p>
    <w:p w:rsidR="005578AA" w:rsidRDefault="005404B5">
      <w:pPr>
        <w:spacing w:after="160" w:line="300" w:lineRule="auto"/>
      </w:pPr>
      <w:r>
        <w:rPr>
          <w:color w:val="1F2A2E"/>
          <w:sz w:val="21"/>
          <w:szCs w:val="21"/>
        </w:rPr>
        <w:t xml:space="preserve">Support channel. Support is provided through email or a ticketing tool, with a named point of contact on each side. Hours are Monday to Saturday, 10:00–19:00 IST, excluding national holidays. S1 issues may also be raised by phone.</w:t>
      </w:r>
      <w:proofErr w:type="spellStart"/>
      <w:proofErr w:type="spellEnd"/>
    </w:p>
    <w:p w:rsidR="005578AA" w:rsidRDefault="005404B5">
      <w:pPr>
        <w:pStyle w:val="Heading2"/>
        <w:spacing w:before="260" w:after="100"/>
      </w:pPr>
      <w:r>
        <w:rPr>
          <w:b/>
          <w:bCs/>
          <w:color w:val="1F2A2E"/>
          <w:sz w:val="22"/>
          <w:szCs w:val="22"/>
        </w:rPr>
        <w:t xml:space="preserve">10.2 Warranty (120 days from go-live)</w:t>
      </w:r>
    </w:p>
    <w:p w:rsidR="005578AA" w:rsidRDefault="005404B5">
      <w:pPr>
        <w:spacing w:after="160" w:line="300" w:lineRule="auto"/>
      </w:pPr>
      <w:r>
        <w:rPr>
          <w:color w:val="1F2A2E"/>
          <w:sz w:val="21"/>
          <w:szCs w:val="21"/>
        </w:rPr>
        <w:t xml:space="preserve">For 120 days from go-live, the development team provides the following at no additional cost:</w:t>
      </w:r>
      <w:proofErr w:type="spellStart"/>
      <w:proofErr w:type="spellEnd"/>
    </w:p>
    <w:p w:rsidR="005578AA" w:rsidRDefault="005404B5">
      <w:pPr>
        <w:pStyle w:val="ListParagraph"/>
        <w:numPr>
          <w:ilvl w:val="0"/>
          <w:numId w:val="1"/>
        </w:numPr>
        <w:spacing w:after="90" w:line="280" w:lineRule="auto"/>
      </w:pPr>
      <w:r>
        <w:rPr>
          <w:color w:val="1F2A2E"/>
          <w:sz w:val="21"/>
          <w:szCs w:val="21"/>
        </w:rPr>
        <w:t xml:space="preserve">Defect fixes. Any defect is fixed according to the service levels in 10.1. A defect means a deviation from the agreed Feature Documentation, PRD, or accepted UAT criteria.</w:t>
      </w:r>
    </w:p>
    <w:p w:rsidR="005578AA" w:rsidRDefault="005404B5">
      <w:pPr>
        <w:pStyle w:val="ListParagraph"/>
        <w:numPr>
          <w:ilvl w:val="0"/>
          <w:numId w:val="1"/>
        </w:numPr>
        <w:spacing w:after="90" w:line="280" w:lineRule="auto"/>
      </w:pPr>
      <w:r>
        <w:rPr>
          <w:color w:val="1F2A2E"/>
          <w:sz w:val="21"/>
          <w:szCs w:val="21"/>
        </w:rPr>
        <w:t xml:space="preserve">Hosting support, as described in 10.4.</w:t>
      </w:r>
    </w:p>
    <w:p w:rsidR="005578AA" w:rsidRDefault="005404B5">
      <w:pPr>
        <w:pStyle w:val="ListParagraph"/>
        <w:numPr>
          <w:ilvl w:val="0"/>
          <w:numId w:val="1"/>
        </w:numPr>
        <w:spacing w:after="90" w:line="280" w:lineRule="auto"/>
      </w:pPr>
      <w:r>
        <w:rPr>
          <w:color w:val="1F2A2E"/>
          <w:sz w:val="21"/>
          <w:szCs w:val="21"/>
        </w:rPr>
        <w:t xml:space="preserve">Minor enhancements, as defined in 10.5, handled on a reasonable-effort basis.</w:t>
      </w:r>
    </w:p>
    <w:p w:rsidR="005578AA" w:rsidRDefault="005404B5">
      <w:pPr>
        <w:pStyle w:val="ListParagraph"/>
        <w:numPr>
          <w:ilvl w:val="0"/>
          <w:numId w:val="1"/>
        </w:numPr>
        <w:spacing w:after="90" w:line="280" w:lineRule="auto"/>
      </w:pPr>
      <w:r>
        <w:rPr>
          <w:color w:val="1F2A2E"/>
          <w:sz w:val="21"/>
          <w:szCs w:val="21"/>
        </w:rPr>
        <w:t xml:space="preserve">Minor statutory updates. Examples include a GST or TDS rate change, or a small field or format change in a return.</w:t>
      </w:r>
    </w:p>
    <w:p w:rsidR="005578AA" w:rsidRDefault="005404B5">
      <w:pPr>
        <w:pStyle w:val="ListParagraph"/>
        <w:numPr>
          <w:ilvl w:val="0"/>
          <w:numId w:val="1"/>
        </w:numPr>
        <w:spacing w:after="90" w:line="280" w:lineRule="auto"/>
      </w:pPr>
      <w:r>
        <w:rPr>
          <w:color w:val="1F2A2E"/>
          <w:sz w:val="21"/>
          <w:szCs w:val="21"/>
        </w:rPr>
        <w:t xml:space="preserve">Stabilisation support. For the first 30 days after go-live, this includes daily monitoring, priority defect fixing, and on-call support for the practice's staff.</w:t>
      </w:r>
    </w:p>
    <w:p w:rsidR="005578AA" w:rsidRDefault="005404B5">
      <w:pPr>
        <w:spacing w:after="160" w:line="300" w:lineRule="auto"/>
      </w:pPr>
      <w:r>
        <w:rPr>
          <w:color w:val="1F2A2E"/>
          <w:sz w:val="21"/>
          <w:szCs w:val="21"/>
        </w:rPr>
        <w:t xml:space="preserve">The warranty does not cover:</w:t>
      </w:r>
      <w:proofErr w:type="spellStart"/>
      <w:proofErr w:type="spellEnd"/>
    </w:p>
    <w:p w:rsidR="005578AA" w:rsidRDefault="005404B5">
      <w:pPr>
        <w:pStyle w:val="ListParagraph"/>
        <w:numPr>
          <w:ilvl w:val="0"/>
          <w:numId w:val="1"/>
        </w:numPr>
        <w:spacing w:after="90" w:line="280" w:lineRule="auto"/>
      </w:pPr>
      <w:r>
        <w:rPr>
          <w:color w:val="1F2A2E"/>
          <w:sz w:val="21"/>
          <w:szCs w:val="21"/>
        </w:rPr>
        <w:t xml:space="preserve">changes made to the code or configuration by anyone other than the development team</w:t>
      </w:r>
    </w:p>
    <w:p w:rsidR="005578AA" w:rsidRDefault="005404B5">
      <w:pPr>
        <w:pStyle w:val="ListParagraph"/>
        <w:numPr>
          <w:ilvl w:val="0"/>
          <w:numId w:val="1"/>
        </w:numPr>
        <w:spacing w:after="90" w:line="280" w:lineRule="auto"/>
      </w:pPr>
      <w:r>
        <w:rPr>
          <w:color w:val="1F2A2E"/>
          <w:sz w:val="21"/>
          <w:szCs w:val="21"/>
        </w:rPr>
        <w:t xml:space="preserve">outages in third-party services (AWS, Zoho, Tally, the GSTN portal)</w:t>
      </w:r>
    </w:p>
    <w:p w:rsidR="005578AA" w:rsidRDefault="005404B5">
      <w:pPr>
        <w:pStyle w:val="ListParagraph"/>
        <w:numPr>
          <w:ilvl w:val="0"/>
          <w:numId w:val="1"/>
        </w:numPr>
        <w:spacing w:after="90" w:line="280" w:lineRule="auto"/>
      </w:pPr>
      <w:r>
        <w:rPr>
          <w:color w:val="1F2A2E"/>
          <w:sz w:val="21"/>
          <w:szCs w:val="21"/>
        </w:rPr>
        <w:t xml:space="preserve">issues arising from incorrect source data</w:t>
      </w:r>
    </w:p>
    <w:p w:rsidR="005578AA" w:rsidRDefault="005404B5">
      <w:pPr>
        <w:spacing w:after="160" w:line="300" w:lineRule="auto"/>
      </w:pPr>
      <w:r>
        <w:rPr>
          <w:color w:val="1F2A2E"/>
          <w:sz w:val="21"/>
          <w:szCs w:val="21"/>
        </w:rPr>
        <w:t xml:space="preserve">Where such an issue affects the practice, the development team will still assist in diagnosing it and restoring normal operation.</w:t>
      </w:r>
      <w:proofErr w:type="spellStart"/>
      <w:proofErr w:type="spellEnd"/>
    </w:p>
    <w:p w:rsidR="005578AA" w:rsidRDefault="005404B5">
      <w:pPr>
        <w:pStyle w:val="Heading2"/>
        <w:spacing w:before="260" w:after="100"/>
      </w:pPr>
      <w:r>
        <w:rPr>
          <w:b/>
          <w:bCs/>
          <w:color w:val="1F2A2E"/>
          <w:sz w:val="22"/>
          <w:szCs w:val="22"/>
        </w:rPr>
        <w:t xml:space="preserve">10.3 Training</w:t>
      </w:r>
    </w:p>
    <w:p w:rsidR="005578AA" w:rsidRDefault="005404B5">
      <w:pPr>
        <w:spacing w:after="160" w:line="300" w:lineRule="auto"/>
      </w:pPr>
      <w:r>
        <w:rPr>
          <w:color w:val="1F2A2E"/>
          <w:sz w:val="21"/>
          <w:szCs w:val="21"/>
        </w:rPr>
        <w:t xml:space="preserve">Training is included in the fixed price:</w:t>
      </w:r>
      <w:proofErr w:type="spellStart"/>
      <w:proofErr w:type="spellEnd"/>
    </w:p>
    <w:p w:rsidR="005578AA" w:rsidRDefault="005404B5">
      <w:pPr>
        <w:pStyle w:val="ListParagraph"/>
        <w:numPr>
          <w:ilvl w:val="0"/>
          <w:numId w:val="1"/>
        </w:numPr>
        <w:spacing w:after="90" w:line="280" w:lineRule="auto"/>
      </w:pPr>
      <w:r>
        <w:rPr>
          <w:color w:val="1F2A2E"/>
          <w:sz w:val="21"/>
          <w:szCs w:val="21"/>
        </w:rPr>
        <w:t xml:space="preserve">Administrator training. Platform configuration, user management, and connector setup for Tally and Zoho.</w:t>
      </w:r>
    </w:p>
    <w:p w:rsidR="005578AA" w:rsidRDefault="005404B5">
      <w:pPr>
        <w:pStyle w:val="ListParagraph"/>
        <w:numPr>
          <w:ilvl w:val="0"/>
          <w:numId w:val="1"/>
        </w:numPr>
        <w:spacing w:after="90" w:line="280" w:lineRule="auto"/>
      </w:pPr>
      <w:r>
        <w:rPr>
          <w:color w:val="1F2A2E"/>
          <w:sz w:val="21"/>
          <w:szCs w:val="21"/>
        </w:rPr>
        <w:t xml:space="preserve">Staff training. Day-to-day use of each agent, reviewing exceptions, and approving outputs. Up to 4 sessions are delivered online or at the client's office.</w:t>
      </w:r>
    </w:p>
    <w:p w:rsidR="005578AA" w:rsidRDefault="005404B5">
      <w:pPr>
        <w:pStyle w:val="ListParagraph"/>
        <w:numPr>
          <w:ilvl w:val="0"/>
          <w:numId w:val="1"/>
        </w:numPr>
        <w:spacing w:after="90" w:line="280" w:lineRule="auto"/>
      </w:pPr>
      <w:r>
        <w:rPr>
          <w:color w:val="1F2A2E"/>
          <w:sz w:val="21"/>
          <w:szCs w:val="21"/>
        </w:rPr>
        <w:t xml:space="preserve">Documentation. User guides for each agent and an administrator manual, delivered at go-live.</w:t>
      </w:r>
    </w:p>
    <w:p w:rsidR="005578AA" w:rsidRDefault="005404B5">
      <w:pPr>
        <w:pStyle w:val="ListParagraph"/>
        <w:numPr>
          <w:ilvl w:val="0"/>
          <w:numId w:val="1"/>
        </w:numPr>
        <w:spacing w:after="90" w:line="280" w:lineRule="auto"/>
      </w:pPr>
      <w:r>
        <w:rPr>
          <w:color w:val="1F2A2E"/>
          <w:sz w:val="21"/>
          <w:szCs w:val="21"/>
        </w:rPr>
        <w:t xml:space="preserve">Recorded walkthroughs of key workflows, for onboarding new staff.</w:t>
      </w:r>
    </w:p>
    <w:p w:rsidR="005578AA" w:rsidRDefault="005404B5">
      <w:pPr>
        <w:pStyle w:val="ListParagraph"/>
        <w:numPr>
          <w:ilvl w:val="0"/>
          <w:numId w:val="1"/>
        </w:numPr>
        <w:spacing w:after="90" w:line="280" w:lineRule="auto"/>
      </w:pPr>
      <w:r>
        <w:rPr>
          <w:color w:val="1F2A2E"/>
          <w:sz w:val="21"/>
          <w:szCs w:val="21"/>
        </w:rPr>
        <w:t xml:space="preserve">Refresher session. One session within the warranty period, typically ahead of the first quarterly TDS cycle after go-live.</w:t>
      </w:r>
    </w:p>
    <w:p w:rsidR="005578AA" w:rsidRDefault="005404B5">
      <w:pPr>
        <w:pStyle w:val="Heading2"/>
        <w:spacing w:before="260" w:after="100"/>
      </w:pPr>
      <w:r>
        <w:rPr>
          <w:b/>
          <w:bCs/>
          <w:color w:val="1F2A2E"/>
          <w:sz w:val="22"/>
          <w:szCs w:val="22"/>
        </w:rPr>
        <w:t xml:space="preserve">10.4 Hosting support</w:t>
      </w:r>
    </w:p>
    <w:p w:rsidR="005578AA" w:rsidRDefault="005404B5">
      <w:pPr>
        <w:spacing w:after="160" w:line="300" w:lineRule="auto"/>
      </w:pPr>
      <w:r>
        <w:rPr>
          <w:color w:val="1F2A2E"/>
          <w:sz w:val="21"/>
          <w:szCs w:val="21"/>
        </w:rPr>
        <w:t xml:space="preserve">The platform runs in a dedicated AWS account held in the client's name, and AWS charges are paid directly by the client (Section 9).</w:t>
      </w:r>
      <w:proofErr w:type="spellStart"/>
      <w:proofErr w:type="spellEnd"/>
    </w:p>
    <w:p w:rsidR="005578AA" w:rsidRDefault="005404B5">
      <w:pPr>
        <w:spacing w:after="160" w:line="300" w:lineRule="auto"/>
      </w:pPr>
      <w:r>
        <w:rPr>
          <w:color w:val="1F2A2E"/>
          <w:sz w:val="21"/>
          <w:szCs w:val="21"/>
        </w:rPr>
        <w:t xml:space="preserve">During the warranty period, the development team administers the environment, covering:</w:t>
      </w:r>
      <w:proofErr w:type="spellStart"/>
      <w:proofErr w:type="spellEnd"/>
    </w:p>
    <w:p w:rsidR="005578AA" w:rsidRDefault="005404B5">
      <w:pPr>
        <w:pStyle w:val="ListParagraph"/>
        <w:numPr>
          <w:ilvl w:val="0"/>
          <w:numId w:val="1"/>
        </w:numPr>
        <w:spacing w:after="90" w:line="280" w:lineRule="auto"/>
      </w:pPr>
      <w:r>
        <w:rPr>
          <w:color w:val="1F2A2E"/>
          <w:sz w:val="21"/>
          <w:szCs w:val="21"/>
        </w:rPr>
        <w:t xml:space="preserve">monitoring and alerting</w:t>
      </w:r>
    </w:p>
    <w:p w:rsidR="005578AA" w:rsidRDefault="005404B5">
      <w:pPr>
        <w:pStyle w:val="ListParagraph"/>
        <w:numPr>
          <w:ilvl w:val="0"/>
          <w:numId w:val="1"/>
        </w:numPr>
        <w:spacing w:after="90" w:line="280" w:lineRule="auto"/>
      </w:pPr>
      <w:r>
        <w:rPr>
          <w:color w:val="1F2A2E"/>
          <w:sz w:val="21"/>
          <w:szCs w:val="21"/>
        </w:rPr>
        <w:t xml:space="preserve">daily backup verification and restores on request</w:t>
      </w:r>
    </w:p>
    <w:p w:rsidR="005578AA" w:rsidRDefault="005404B5">
      <w:pPr>
        <w:pStyle w:val="ListParagraph"/>
        <w:numPr>
          <w:ilvl w:val="0"/>
          <w:numId w:val="1"/>
        </w:numPr>
        <w:spacing w:after="90" w:line="280" w:lineRule="auto"/>
      </w:pPr>
      <w:r>
        <w:rPr>
          <w:color w:val="1F2A2E"/>
          <w:sz w:val="21"/>
          <w:szCs w:val="21"/>
        </w:rPr>
        <w:t xml:space="preserve">security patching</w:t>
      </w:r>
    </w:p>
    <w:p w:rsidR="005578AA" w:rsidRDefault="005404B5">
      <w:pPr>
        <w:pStyle w:val="ListParagraph"/>
        <w:numPr>
          <w:ilvl w:val="0"/>
          <w:numId w:val="1"/>
        </w:numPr>
        <w:spacing w:after="90" w:line="280" w:lineRule="auto"/>
      </w:pPr>
      <w:r>
        <w:rPr>
          <w:color w:val="1F2A2E"/>
          <w:sz w:val="21"/>
          <w:szCs w:val="21"/>
        </w:rPr>
        <w:t xml:space="preserve">SSL and domain management</w:t>
      </w:r>
    </w:p>
    <w:p w:rsidR="005578AA" w:rsidRDefault="005404B5">
      <w:pPr>
        <w:pStyle w:val="ListParagraph"/>
        <w:numPr>
          <w:ilvl w:val="0"/>
          <w:numId w:val="1"/>
        </w:numPr>
        <w:spacing w:after="90" w:line="280" w:lineRule="auto"/>
      </w:pPr>
      <w:r>
        <w:rPr>
          <w:color w:val="1F2A2E"/>
          <w:sz w:val="21"/>
          <w:szCs w:val="21"/>
        </w:rPr>
        <w:t xml:space="preserve">incident response under 10.1</w:t>
      </w:r>
    </w:p>
    <w:p w:rsidR="005578AA" w:rsidRDefault="005404B5">
      <w:pPr>
        <w:spacing w:after="160" w:line="300" w:lineRule="auto"/>
      </w:pPr>
      <w:r>
        <w:rPr>
          <w:color w:val="1F2A2E"/>
          <w:sz w:val="21"/>
          <w:szCs w:val="21"/>
        </w:rPr>
        <w:t xml:space="preserve">After the warranty period, hosting support is available under a separate agreement.</w:t>
      </w:r>
      <w:proofErr w:type="spellStart"/>
      <w:proofErr w:type="spellEnd"/>
    </w:p>
    <w:p w:rsidR="005578AA" w:rsidRDefault="005404B5">
      <w:pPr>
        <w:pStyle w:val="Heading2"/>
        <w:spacing w:before="260" w:after="100"/>
      </w:pPr>
      <w:r>
        <w:rPr>
          <w:b/>
          <w:bCs/>
          <w:color w:val="1F2A2E"/>
          <w:sz w:val="22"/>
          <w:szCs w:val="22"/>
        </w:rPr>
        <w:t xml:space="preserve">10.5 Minor enhancements</w:t>
      </w:r>
    </w:p>
    <w:p w:rsidR="005578AA" w:rsidRDefault="005404B5">
      <w:pPr>
        <w:spacing w:after="160" w:line="300" w:lineRule="auto"/>
      </w:pPr>
      <w:r>
        <w:rPr>
          <w:color w:val="1F2A2E"/>
          <w:sz w:val="21"/>
          <w:szCs w:val="21"/>
        </w:rPr>
        <w:t xml:space="preserve">A minor enhancement is a change to an existing feature that meets all of these conditions:</w:t>
      </w:r>
      <w:proofErr w:type="spellStart"/>
      <w:proofErr w:type="spellEnd"/>
    </w:p>
    <w:p w:rsidR="005578AA" w:rsidRDefault="005404B5">
      <w:pPr>
        <w:pStyle w:val="ListParagraph"/>
        <w:numPr>
          <w:ilvl w:val="0"/>
          <w:numId w:val="1"/>
        </w:numPr>
        <w:spacing w:after="90" w:line="280" w:lineRule="auto"/>
      </w:pPr>
      <w:r>
        <w:rPr>
          <w:color w:val="1F2A2E"/>
          <w:sz w:val="21"/>
          <w:szCs w:val="21"/>
        </w:rPr>
        <w:t xml:space="preserve">it takes roughly 2 working days of effort or less</w:t>
      </w:r>
    </w:p>
    <w:p w:rsidR="005578AA" w:rsidRDefault="005404B5">
      <w:pPr>
        <w:pStyle w:val="ListParagraph"/>
        <w:numPr>
          <w:ilvl w:val="0"/>
          <w:numId w:val="1"/>
        </w:numPr>
        <w:spacing w:after="90" w:line="280" w:lineRule="auto"/>
      </w:pPr>
      <w:r>
        <w:rPr>
          <w:color w:val="1F2A2E"/>
          <w:sz w:val="21"/>
          <w:szCs w:val="21"/>
        </w:rPr>
        <w:t xml:space="preserve">it adds no new agent, integration, or data entity</w:t>
      </w:r>
    </w:p>
    <w:p w:rsidR="005578AA" w:rsidRDefault="005404B5">
      <w:pPr>
        <w:pStyle w:val="ListParagraph"/>
        <w:numPr>
          <w:ilvl w:val="0"/>
          <w:numId w:val="1"/>
        </w:numPr>
        <w:spacing w:after="90" w:line="280" w:lineRule="auto"/>
      </w:pPr>
      <w:r>
        <w:rPr>
          <w:color w:val="1F2A2E"/>
          <w:sz w:val="21"/>
          <w:szCs w:val="21"/>
        </w:rPr>
        <w:t xml:space="preserve">it does not change the data model or architecture</w:t>
      </w:r>
    </w:p>
    <w:p w:rsidR="005578AA" w:rsidRDefault="005404B5">
      <w:pPr>
        <w:spacing w:after="160" w:line="300" w:lineRule="auto"/>
      </w:pPr>
      <w:r>
        <w:rPr>
          <w:color w:val="1F2A2E"/>
          <w:sz w:val="21"/>
          <w:szCs w:val="21"/>
        </w:rPr>
        <w:t xml:space="preserve">Examples include a new report column, an email template change, a validation rule adjustment, a new document-type mapping, or a dashboard filter.</w:t>
      </w:r>
      <w:proofErr w:type="spellStart"/>
      <w:proofErr w:type="spellEnd"/>
    </w:p>
    <w:p w:rsidR="005578AA" w:rsidRDefault="005404B5">
      <w:pPr>
        <w:pStyle w:val="Heading2"/>
        <w:spacing w:before="260" w:after="100"/>
      </w:pPr>
      <w:r>
        <w:rPr>
          <w:b/>
          <w:bCs/>
          <w:color w:val="1F2A2E"/>
          <w:sz w:val="22"/>
          <w:szCs w:val="22"/>
        </w:rPr>
        <w:t xml:space="preserve">10.6 Major features and change requests</w:t>
      </w:r>
    </w:p>
    <w:p w:rsidR="005578AA" w:rsidRDefault="005404B5">
      <w:pPr>
        <w:spacing w:after="160" w:line="300" w:lineRule="auto"/>
      </w:pPr>
      <w:r>
        <w:rPr>
          <w:color w:val="1F2A2E"/>
          <w:sz w:val="21"/>
          <w:szCs w:val="21"/>
        </w:rPr>
        <w:t xml:space="preserve">Anything beyond the minor enhancement definition is a change request. This includes new agents (including the Out of Scope items in Section 12), new integrations, data model changes, and multi-firm capability.</w:t>
      </w:r>
      <w:proofErr w:type="spellStart"/>
      <w:proofErr w:type="spellEnd"/>
    </w:p>
    <w:p w:rsidR="005578AA" w:rsidRDefault="005404B5">
      <w:pPr>
        <w:spacing w:after="160" w:line="300" w:lineRule="auto"/>
      </w:pPr>
      <w:r>
        <w:rPr>
          <w:color w:val="1F2A2E"/>
          <w:sz w:val="21"/>
          <w:szCs w:val="21"/>
        </w:rPr>
        <w:t xml:space="preserve">Change requests follow this process:</w:t>
      </w:r>
      <w:proofErr w:type="spellStart"/>
      <w:proofErr w:type="spellEnd"/>
    </w:p>
    <w:p w:rsidR="005578AA" w:rsidRDefault="005404B5">
      <w:pPr>
        <w:spacing w:after="90" w:line="280" w:lineRule="auto"/>
      </w:pPr>
      <w:r>
        <w:rPr>
          <w:b/>
          <w:bCs/>
          <w:color w:val="0F6B5C"/>
          <w:sz w:val="21"/>
          <w:szCs w:val="21"/>
        </w:rPr>
        <w:t xml:space="preserve">1.  </w:t>
      </w:r>
      <w:r>
        <w:rPr>
          <w:color w:val="1F2A2E"/>
          <w:sz w:val="21"/>
          <w:szCs w:val="21"/>
        </w:rPr>
        <w:t xml:space="preserve">The client submits a written request.</w:t>
      </w:r>
    </w:p>
    <w:p w:rsidR="005578AA" w:rsidRDefault="005404B5">
      <w:pPr>
        <w:spacing w:after="90" w:line="280" w:lineRule="auto"/>
      </w:pPr>
      <w:r>
        <w:rPr>
          <w:b/>
          <w:bCs/>
          <w:color w:val="0F6B5C"/>
          <w:sz w:val="21"/>
          <w:szCs w:val="21"/>
        </w:rPr>
        <w:t xml:space="preserve">2.  </w:t>
      </w:r>
      <w:r>
        <w:rPr>
          <w:color w:val="1F2A2E"/>
          <w:sz w:val="21"/>
          <w:szCs w:val="21"/>
        </w:rPr>
        <w:t xml:space="preserve">Within 5 business days, the development team provides an impact assessment covering effort, cost, timeline, and risk.</w:t>
      </w:r>
    </w:p>
    <w:p w:rsidR="005578AA" w:rsidRDefault="005404B5">
      <w:pPr>
        <w:spacing w:after="90" w:line="280" w:lineRule="auto"/>
      </w:pPr>
      <w:r>
        <w:rPr>
          <w:b/>
          <w:bCs/>
          <w:color w:val="0F6B5C"/>
          <w:sz w:val="21"/>
          <w:szCs w:val="21"/>
        </w:rPr>
        <w:t xml:space="preserve">3.  </w:t>
      </w:r>
      <w:r>
        <w:rPr>
          <w:color w:val="1F2A2E"/>
          <w:sz w:val="21"/>
          <w:szCs w:val="21"/>
        </w:rPr>
        <w:t xml:space="preserve">Work is scheduled after the client's written approval.</w:t>
      </w:r>
    </w:p>
    <w:p w:rsidR="005578AA" w:rsidRDefault="005404B5">
      <w:pPr>
        <w:spacing w:after="90" w:line="280" w:lineRule="auto"/>
      </w:pPr>
      <w:r>
        <w:rPr>
          <w:b/>
          <w:bCs/>
          <w:color w:val="0F6B5C"/>
          <w:sz w:val="21"/>
          <w:szCs w:val="21"/>
        </w:rPr>
        <w:t xml:space="preserve">4.  </w:t>
      </w:r>
      <w:r>
        <w:rPr>
          <w:color w:val="1F2A2E"/>
          <w:sz w:val="21"/>
          <w:szCs w:val="21"/>
        </w:rPr>
        <w:t xml:space="preserve">Depending on the quantum of work, it is billed at ₹12,000 per person-day or on a fixed-cost basis through a separate proposal.</w:t>
      </w:r>
    </w:p>
    <w:p w:rsidR="005578AA" w:rsidRDefault="005404B5">
      <w:pPr>
        <w:spacing w:after="160" w:line="300" w:lineRule="auto"/>
      </w:pPr>
      <w:r>
        <w:rPr>
          <w:color w:val="1F2A2E"/>
          <w:sz w:val="21"/>
          <w:szCs w:val="21"/>
        </w:rPr>
        <w:t xml:space="preserve">During the build, scope is frozen to Section 4 on acceptance of this proposal. Change requests raised during the build follow the same process and may extend the Section 6 timeline.</w:t>
      </w:r>
      <w:proofErr w:type="spellStart"/>
      <w:proofErr w:type="spellEnd"/>
    </w:p>
    <w:p w:rsidR="005578AA" w:rsidRDefault="005404B5">
      <w:pPr>
        <w:spacing w:after="160" w:line="300" w:lineRule="auto"/>
      </w:pPr>
      <w:r>
        <w:rPr>
          <w:color w:val="1F2A2E"/>
          <w:sz w:val="21"/>
          <w:szCs w:val="21"/>
        </w:rPr>
        <w:t xml:space="preserve">As the first client on the platform, Venture Assist / Srivatsan &amp; Associates will receive preferential pricing on change requests and post-warranty support.</w:t>
      </w:r>
      <w:proofErr w:type="spellStart"/>
      <w:proofErr w:type="spellEnd"/>
    </w:p>
    <w:p w:rsidR="005578AA" w:rsidRDefault="005404B5">
      <w:pPr>
        <w:pStyle w:val="Heading2"/>
        <w:spacing w:before="260" w:after="100"/>
      </w:pPr>
      <w:r>
        <w:rPr>
          <w:b/>
          <w:bCs/>
          <w:color w:val="1F2A2E"/>
          <w:sz w:val="22"/>
          <w:szCs w:val="22"/>
        </w:rPr>
        <w:t xml:space="preserve">10.7 Licence and ownership</w:t>
      </w:r>
    </w:p>
    <w:p w:rsidR="005578AA" w:rsidRDefault="005404B5">
      <w:pPr>
        <w:pStyle w:val="ListParagraph"/>
        <w:numPr>
          <w:ilvl w:val="0"/>
          <w:numId w:val="1"/>
        </w:numPr>
        <w:spacing w:after="90" w:line="280" w:lineRule="auto"/>
      </w:pPr>
      <w:r>
        <w:rPr>
          <w:color w:val="1F2A2E"/>
          <w:sz w:val="21"/>
          <w:szCs w:val="21"/>
        </w:rPr>
        <w:t xml:space="preserve">Client licence. On receipt of the M4 payment, the client receives a perpetual, royalty-free licence to use the CAOS platform for its own practice and its clients. The licence is non-exclusive and non-transferable, and does not extend to resale, sublicensing, or use by other firms. The CAOS platform remains the property of the development team, which continues to develop it as a product.</w:t>
      </w:r>
    </w:p>
    <w:p w:rsidR="005578AA" w:rsidRDefault="005404B5">
      <w:pPr>
        <w:pStyle w:val="ListParagraph"/>
        <w:numPr>
          <w:ilvl w:val="0"/>
          <w:numId w:val="1"/>
        </w:numPr>
        <w:spacing w:after="90" w:line="280" w:lineRule="auto"/>
      </w:pPr>
      <w:r>
        <w:rPr>
          <w:color w:val="1F2A2E"/>
          <w:sz w:val="21"/>
          <w:szCs w:val="21"/>
        </w:rPr>
        <w:t xml:space="preserve">Source code. Source code of the deployed version will be made available to the client under the terms of this licence.</w:t>
      </w:r>
    </w:p>
    <w:p w:rsidR="005578AA" w:rsidRDefault="005404B5">
      <w:pPr>
        <w:pStyle w:val="ListParagraph"/>
        <w:numPr>
          <w:ilvl w:val="0"/>
          <w:numId w:val="1"/>
        </w:numPr>
        <w:spacing w:after="90" w:line="280" w:lineRule="auto"/>
      </w:pPr>
      <w:r>
        <w:rPr>
          <w:color w:val="1F2A2E"/>
          <w:sz w:val="21"/>
          <w:szCs w:val="21"/>
        </w:rPr>
        <w:t xml:space="preserve">Client data and confidentiality. All client data belongs to the client. This covers practice data, client records, documents, filings, and firm-specific configurations and templates. None of it will be used for, or disclosed to, any other customer. Firm-specific business rules or workflows shared by the practice are treated as confidential.</w:t>
      </w:r>
    </w:p>
    <w:p w14:paraId="298BB9BB" w14:textId="77777777" w:rsidR="005578AA" w:rsidRDefault="005404B5">
      <w:pPr>
        <w:pStyle w:val="Heading1"/>
        <w:pBdr>
          <w:bottom w:val="single" w:sz="8" w:space="4" w:color="0F6B5C"/>
        </w:pBdr>
        <w:spacing w:before="380" w:after="160"/>
      </w:pPr>
      <w:r>
        <w:rPr>
          <w:b/>
          <w:bCs/>
          <w:color w:val="0F6B5C"/>
          <w:sz w:val="28"/>
          <w:szCs w:val="28"/>
        </w:rPr>
        <w:t xml:space="preserve">11. Assumptions &amp; Dependencies</w:t>
      </w:r>
    </w:p>
    <w:p w14:paraId="70610449" w14:textId="77777777" w:rsidR="005578AA" w:rsidRDefault="005404B5">
      <w:pPr>
        <w:pStyle w:val="ListParagraph"/>
        <w:numPr>
          <w:ilvl w:val="0"/>
          <w:numId w:val="1"/>
        </w:numPr>
        <w:spacing w:after="90" w:line="280" w:lineRule="auto"/>
      </w:pPr>
      <w:r>
        <w:rPr>
          <w:color w:val="1F2A2E"/>
          <w:sz w:val="21"/>
          <w:szCs w:val="21"/>
        </w:rPr>
        <w:t xml:space="preserve">Tally Cloud access and </w:t>
      </w:r>
      <w:proofErr w:type="spellStart"/>
      <w:r>
        <w:rPr>
          <w:color w:val="1F2A2E"/>
          <w:sz w:val="21"/>
          <w:szCs w:val="21"/>
        </w:rPr>
        <w:t>Zoho</w:t>
      </w:r>
      <w:proofErr w:type="spellEnd"/>
      <w:r>
        <w:rPr>
          <w:color w:val="1F2A2E"/>
          <w:sz w:val="21"/>
          <w:szCs w:val="21"/>
        </w:rPr>
        <w:t xml:space="preserve"> Books OAuth/sandbox credentials are made available before Phase 1 begins</w:t>
      </w:r>
    </w:p>
    <w:p w14:paraId="54EE5E0D" w14:textId="77777777" w:rsidR="005578AA" w:rsidRDefault="005404B5">
      <w:pPr>
        <w:pStyle w:val="ListParagraph"/>
        <w:numPr>
          <w:ilvl w:val="0"/>
          <w:numId w:val="1"/>
        </w:numPr>
        <w:spacing w:after="90" w:line="280" w:lineRule="auto"/>
      </w:pPr>
      <w:r>
        <w:rPr>
          <w:color w:val="1F2A2E"/>
          <w:sz w:val="21"/>
          <w:szCs w:val="21"/>
        </w:rPr>
        <w:t>A pilot client (or sanitized representative data) is available for Phase 2–4 testing against real bookkeeping and filing scenarios</w:t>
      </w:r>
    </w:p>
    <w:p w14:paraId="579B0A63" w14:textId="77777777" w:rsidR="005578AA" w:rsidRDefault="005404B5">
      <w:pPr>
        <w:pStyle w:val="ListParagraph"/>
        <w:numPr>
          <w:ilvl w:val="0"/>
          <w:numId w:val="1"/>
        </w:numPr>
        <w:spacing w:after="90" w:line="280" w:lineRule="auto"/>
      </w:pPr>
      <w:r>
        <w:rPr>
          <w:color w:val="1F2A2E"/>
          <w:sz w:val="21"/>
          <w:szCs w:val="21"/>
        </w:rPr>
        <w:t>UAT feedback at each phase gate is turned around within 3 business days to hold the Section 6 timeline</w:t>
      </w:r>
    </w:p>
    <w:p w14:paraId="71EA66DB" w14:textId="77777777" w:rsidR="005578AA" w:rsidRDefault="005404B5">
      <w:pPr>
        <w:pStyle w:val="ListParagraph"/>
        <w:numPr>
          <w:ilvl w:val="0"/>
          <w:numId w:val="1"/>
        </w:numPr>
        <w:spacing w:after="90" w:line="280" w:lineRule="auto"/>
      </w:pPr>
      <w:r>
        <w:rPr>
          <w:color w:val="1F2A2E"/>
          <w:sz w:val="21"/>
          <w:szCs w:val="21"/>
        </w:rPr>
        <w:t>The four Tally-only assumption gaps flagged in the current documentation (API Specification, Coding Guidelines, Security Standard, Testing Strategy) are closed in Phase 0, ahead of Phase 1 build start</w:t>
      </w:r>
    </w:p>
    <w:p w14:paraId="4878D92B" w14:textId="77777777" w:rsidR="005578AA" w:rsidRDefault="005404B5">
      <w:pPr>
        <w:pStyle w:val="Heading1"/>
        <w:pBdr>
          <w:bottom w:val="single" w:sz="8" w:space="4" w:color="0F6B5C"/>
        </w:pBdr>
        <w:spacing w:before="380" w:after="160"/>
      </w:pPr>
      <w:r>
        <w:rPr>
          <w:b/>
          <w:bCs/>
          <w:color w:val="0F6B5C"/>
          <w:sz w:val="28"/>
          <w:szCs w:val="28"/>
        </w:rPr>
        <w:t xml:space="preserve">12. Out of Scope</w:t>
      </w:r>
    </w:p>
    <w:p w14:paraId="5F3018F7" w14:textId="77777777" w:rsidR="005578AA" w:rsidRDefault="005404B5">
      <w:pPr>
        <w:spacing w:after="160" w:line="300" w:lineRule="auto"/>
      </w:pPr>
      <w:r>
        <w:rPr>
          <w:color w:val="1F2A2E"/>
          <w:sz w:val="21"/>
          <w:szCs w:val="21"/>
        </w:rPr>
        <w:t>The following are deliberately excluded from this proposal's price and timeline, consistent with the current roadmap:</w:t>
      </w:r>
    </w:p>
    <w:p w14:paraId="533AAD79" w14:textId="77777777" w:rsidR="005578AA" w:rsidRDefault="005404B5">
      <w:pPr>
        <w:pStyle w:val="ListParagraph"/>
        <w:numPr>
          <w:ilvl w:val="0"/>
          <w:numId w:val="1"/>
        </w:numPr>
        <w:spacing w:after="90" w:line="280" w:lineRule="auto"/>
      </w:pPr>
      <w:r>
        <w:rPr>
          <w:color w:val="1F2A2E"/>
          <w:sz w:val="21"/>
          <w:szCs w:val="21"/>
        </w:rPr>
        <w:t>Notice/Scrutiny Tracker Agent</w:t>
      </w:r>
    </w:p>
    <w:p w14:paraId="0D1DCA76" w14:textId="77777777" w:rsidR="005578AA" w:rsidRDefault="005404B5">
      <w:pPr>
        <w:pStyle w:val="ListParagraph"/>
        <w:numPr>
          <w:ilvl w:val="0"/>
          <w:numId w:val="1"/>
        </w:numPr>
        <w:spacing w:after="90" w:line="280" w:lineRule="auto"/>
      </w:pPr>
      <w:r>
        <w:rPr>
          <w:color w:val="1F2A2E"/>
          <w:sz w:val="21"/>
          <w:szCs w:val="21"/>
        </w:rPr>
        <w:t>Financial Statement Analysis / Ratio Agent, ROC/Companies Act Compliance Tracker, Fixed Asset Register &amp; Depreciation Agent, Audit Sampling &amp; Risk-Scoring Agent, Knowledge Base/Query Assistant</w:t>
      </w:r>
    </w:p>
    <w:p w14:paraId="4AECB9A1" w14:textId="77777777" w:rsidR="005578AA" w:rsidRDefault="005404B5">
      <w:pPr>
        <w:pStyle w:val="ListParagraph"/>
        <w:numPr>
          <w:ilvl w:val="0"/>
          <w:numId w:val="1"/>
        </w:numPr>
        <w:spacing w:after="90" w:line="280" w:lineRule="auto"/>
      </w:pPr>
      <w:r>
        <w:rPr>
          <w:color w:val="1F2A2E"/>
          <w:sz w:val="21"/>
          <w:szCs w:val="21"/>
        </w:rPr>
        <w:t>Any AI-assisted audit tooling beyond the agents listed in Section 3</w:t>
      </w:r>
    </w:p>
    <w:p w14:paraId="769A2822" w14:textId="77777777" w:rsidR="005578AA" w:rsidRDefault="005404B5">
      <w:pPr>
        <w:spacing w:after="160" w:line="300" w:lineRule="auto"/>
      </w:pPr>
      <w:r>
        <w:rPr>
          <w:color w:val="1F2A2E"/>
          <w:sz w:val="21"/>
          <w:szCs w:val="21"/>
        </w:rPr>
        <w:t>These can be scoped and priced as a Phase 5 addendum once the core platform is live and adoption data is available to prioritize them.</w:t>
      </w:r>
    </w:p>
    <w:p w14:paraId="1302879B" w14:textId="77777777" w:rsidR="005578AA" w:rsidRDefault="005404B5">
      <w:pPr>
        <w:pStyle w:val="Heading1"/>
        <w:pBdr>
          <w:bottom w:val="single" w:sz="8" w:space="4" w:color="0F6B5C"/>
        </w:pBdr>
        <w:spacing w:before="380" w:after="160"/>
      </w:pPr>
      <w:r>
        <w:rPr>
          <w:b/>
          <w:bCs/>
          <w:color w:val="0F6B5C"/>
          <w:sz w:val="28"/>
          <w:szCs w:val="28"/>
        </w:rPr>
        <w:t xml:space="preserve">13. Risks &amp; Mitigations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100"/>
      </w:tblGrid>
      <w:tr w:rsidR="005578AA" w14:paraId="756EFAD9" w14:textId="77777777">
        <w:tblPrEx>
          <w:tblCellMar>
            <w:top w:w="0" w:type="dxa"/>
            <w:bottom w:w="0" w:type="dxa"/>
          </w:tblCellMar>
        </w:tblPrEx>
        <w:trPr>
          <w:cantSplit/>
          <w:tblHeader/>
        </w:trPr>
        <w:tc>
          <w:tcPr>
            <w:tcW w:w="3300" w:type="dxa"/>
            <w:shd w:val="clear" w:color="auto" w:fill="0F6B5C"/>
            <w:tcMar>
              <w:top w:w="120" w:type="dxa"/>
              <w:left w:w="140" w:type="dxa"/>
              <w:bottom w:w="120" w:type="dxa"/>
              <w:right w:w="140" w:type="dxa"/>
            </w:tcMar>
            <w:vAlign w:val="center"/>
          </w:tcPr>
          <w:p w14:paraId="63190452" w14:textId="77777777" w:rsidR="005578AA" w:rsidRDefault="005404B5">
            <w:r>
              <w:rPr>
                <w:b/>
                <w:bCs/>
                <w:color w:val="FFFFFF"/>
                <w:sz w:val="19"/>
                <w:szCs w:val="19"/>
              </w:rPr>
              <w:t>Risk</w:t>
            </w:r>
          </w:p>
        </w:tc>
        <w:tc>
          <w:tcPr>
            <w:tcW w:w="6100" w:type="dxa"/>
            <w:shd w:val="clear" w:color="auto" w:fill="0F6B5C"/>
            <w:tcMar>
              <w:top w:w="120" w:type="dxa"/>
              <w:left w:w="140" w:type="dxa"/>
              <w:bottom w:w="120" w:type="dxa"/>
              <w:right w:w="140" w:type="dxa"/>
            </w:tcMar>
            <w:vAlign w:val="center"/>
          </w:tcPr>
          <w:p w14:paraId="51C7B4C6" w14:textId="77777777" w:rsidR="005578AA" w:rsidRDefault="005404B5">
            <w:pPr>
              <w:jc w:val="center"/>
            </w:pPr>
            <w:r>
              <w:rPr>
                <w:b/>
                <w:bCs/>
                <w:color w:val="FFFFFF"/>
                <w:sz w:val="19"/>
                <w:szCs w:val="19"/>
              </w:rPr>
              <w:t>Mitigation</w:t>
            </w:r>
          </w:p>
        </w:tc>
      </w:tr>
      <w:tr w:rsidR="005578AA" w14:paraId="215022AE" w14:textId="77777777">
        <w:tblPrEx>
          <w:tblCellMar>
            <w:top w:w="0" w:type="dxa"/>
            <w:bottom w:w="0" w:type="dxa"/>
          </w:tblCellMar>
        </w:tblPrEx>
        <w:trPr>
          <w:cantSplit/>
        </w:trPr>
        <w:tc>
          <w:tcPr>
            <w:tcW w:w="3300" w:type="dxa"/>
            <w:tcMar>
              <w:top w:w="120" w:type="dxa"/>
              <w:left w:w="140" w:type="dxa"/>
              <w:bottom w:w="120" w:type="dxa"/>
              <w:right w:w="140" w:type="dxa"/>
            </w:tcMar>
            <w:vAlign w:val="center"/>
          </w:tcPr>
          <w:p w14:paraId="3D9A5EC1" w14:textId="77777777" w:rsidR="005578AA" w:rsidRDefault="005404B5">
            <w:r>
              <w:rPr>
                <w:color w:val="1F2A2E"/>
                <w:sz w:val="19"/>
                <w:szCs w:val="19"/>
              </w:rPr>
              <w:t>Client-side delays (credential access, UAT turnaround) slip the Section 6 timeline</w:t>
            </w:r>
          </w:p>
        </w:tc>
        <w:tc>
          <w:tcPr>
            <w:tcW w:w="6100" w:type="dxa"/>
            <w:tcMar>
              <w:top w:w="120" w:type="dxa"/>
              <w:left w:w="140" w:type="dxa"/>
              <w:bottom w:w="120" w:type="dxa"/>
              <w:right w:w="140" w:type="dxa"/>
            </w:tcMar>
            <w:vAlign w:val="center"/>
          </w:tcPr>
          <w:p w14:paraId="6631D89E" w14:textId="77777777" w:rsidR="005578AA" w:rsidRDefault="005404B5">
            <w:pPr>
              <w:jc w:val="center"/>
            </w:pPr>
            <w:r>
              <w:rPr>
                <w:color w:val="1F2A2E"/>
                <w:sz w:val="19"/>
                <w:szCs w:val="19"/>
              </w:rPr>
              <w:t xml:space="preserve">Phase gates are explicit in the contract; slippage on client-side dependencies extends the timeline without penalty to either party. Payment milestones follow the schedule-changes clause in Section 8.</w:t>
            </w:r>
          </w:p>
        </w:tc>
      </w:tr>
      <w:tr w:rsidR="005578AA" w14:paraId="4F6C0FB3" w14:textId="77777777">
        <w:tblPrEx>
          <w:tblCellMar>
            <w:top w:w="0" w:type="dxa"/>
            <w:bottom w:w="0" w:type="dxa"/>
          </w:tblCellMar>
        </w:tblPrEx>
        <w:trPr>
          <w:cantSplit/>
        </w:trPr>
        <w:tc>
          <w:tcPr>
            <w:tcW w:w="3300" w:type="dxa"/>
            <w:shd w:val="clear" w:color="auto" w:fill="E4F1EE"/>
            <w:tcMar>
              <w:top w:w="120" w:type="dxa"/>
              <w:left w:w="140" w:type="dxa"/>
              <w:bottom w:w="120" w:type="dxa"/>
              <w:right w:w="140" w:type="dxa"/>
            </w:tcMar>
            <w:vAlign w:val="center"/>
          </w:tcPr>
          <w:p w14:paraId="1A4F3BAA" w14:textId="77777777" w:rsidR="005578AA" w:rsidRDefault="005404B5">
            <w:r>
              <w:rPr>
                <w:color w:val="1F2A2E"/>
                <w:sz w:val="19"/>
                <w:szCs w:val="19"/>
              </w:rPr>
              <w:t>Compliance-layer defects reach production</w:t>
            </w:r>
          </w:p>
        </w:tc>
        <w:tc>
          <w:tcPr>
            <w:tcW w:w="6100" w:type="dxa"/>
            <w:shd w:val="clear" w:color="auto" w:fill="E4F1EE"/>
            <w:tcMar>
              <w:top w:w="120" w:type="dxa"/>
              <w:left w:w="140" w:type="dxa"/>
              <w:bottom w:w="120" w:type="dxa"/>
              <w:right w:w="140" w:type="dxa"/>
            </w:tcMar>
            <w:vAlign w:val="center"/>
          </w:tcPr>
          <w:p w14:paraId="6CB0A30D" w14:textId="77777777" w:rsidR="005578AA" w:rsidRDefault="005404B5">
            <w:pPr>
              <w:jc w:val="center"/>
            </w:pPr>
            <w:r>
              <w:rPr>
                <w:color w:val="1F2A2E"/>
                <w:sz w:val="19"/>
                <w:szCs w:val="19"/>
              </w:rPr>
              <w:t>Phase 3 carries dedicated QA/compliance review capacity and a parallel-run test against a completed manual filing cycle before go-live</w:t>
            </w:r>
          </w:p>
        </w:tc>
      </w:tr>
      <w:tr w:rsidR="005578AA" w14:paraId="7A52F826" w14:textId="77777777">
        <w:tblPrEx>
          <w:tblCellMar>
            <w:top w:w="0" w:type="dxa"/>
            <w:bottom w:w="0" w:type="dxa"/>
          </w:tblCellMar>
        </w:tblPrEx>
        <w:trPr>
          <w:cantSplit/>
        </w:trPr>
        <w:tc>
          <w:tcPr>
            <w:tcW w:w="3300" w:type="dxa"/>
            <w:tcMar>
              <w:top w:w="120" w:type="dxa"/>
              <w:left w:w="140" w:type="dxa"/>
              <w:bottom w:w="120" w:type="dxa"/>
              <w:right w:w="140" w:type="dxa"/>
            </w:tcMar>
            <w:vAlign w:val="center"/>
          </w:tcPr>
          <w:p w14:paraId="7FA3281B" w14:textId="77777777" w:rsidR="005578AA" w:rsidRDefault="005404B5">
            <w:proofErr w:type="spellStart"/>
            <w:r>
              <w:rPr>
                <w:color w:val="1F2A2E"/>
                <w:sz w:val="19"/>
                <w:szCs w:val="19"/>
              </w:rPr>
              <w:t>Zoho</w:t>
            </w:r>
            <w:proofErr w:type="spellEnd"/>
            <w:r>
              <w:rPr>
                <w:color w:val="1F2A2E"/>
                <w:sz w:val="19"/>
                <w:szCs w:val="19"/>
              </w:rPr>
              <w:t>/Tally API changes during the build</w:t>
            </w:r>
          </w:p>
        </w:tc>
        <w:tc>
          <w:tcPr>
            <w:tcW w:w="6100" w:type="dxa"/>
            <w:tcMar>
              <w:top w:w="120" w:type="dxa"/>
              <w:left w:w="140" w:type="dxa"/>
              <w:bottom w:w="120" w:type="dxa"/>
              <w:right w:w="140" w:type="dxa"/>
            </w:tcMar>
            <w:vAlign w:val="center"/>
          </w:tcPr>
          <w:p w14:paraId="31468B18" w14:textId="77777777" w:rsidR="005578AA" w:rsidRDefault="005404B5">
            <w:pPr>
              <w:jc w:val="center"/>
            </w:pPr>
            <w:proofErr w:type="spellStart"/>
            <w:r>
              <w:rPr>
                <w:color w:val="1F2A2E"/>
                <w:sz w:val="19"/>
                <w:szCs w:val="19"/>
              </w:rPr>
              <w:t>BooksConnector's</w:t>
            </w:r>
            <w:proofErr w:type="spellEnd"/>
            <w:r>
              <w:rPr>
                <w:color w:val="1F2A2E"/>
                <w:sz w:val="19"/>
                <w:szCs w:val="19"/>
              </w:rPr>
              <w:t xml:space="preserve"> adapter pattern isolates backend-specific changes to a single adapter, not the core platform</w:t>
            </w:r>
          </w:p>
        </w:tc>
      </w:tr>
    </w:tbl>
    <w:p w14:paraId="5C06C13D" w14:textId="77777777" w:rsidR="005578AA" w:rsidRDefault="005404B5">
      <w:pPr>
        <w:pStyle w:val="Heading1"/>
        <w:pBdr>
          <w:bottom w:val="single" w:sz="8" w:space="4" w:color="0F6B5C"/>
        </w:pBdr>
        <w:spacing w:before="380" w:after="160"/>
      </w:pPr>
      <w:r>
        <w:rPr>
          <w:b/>
          <w:bCs/>
          <w:color w:val="0F6B5C"/>
          <w:sz w:val="28"/>
          <w:szCs w:val="28"/>
        </w:rPr>
        <w:t xml:space="preserve">14. Next Steps &amp; Acceptance</w:t>
      </w:r>
    </w:p>
    <w:p w14:paraId="0A302F88" w14:textId="77777777" w:rsidR="005578AA" w:rsidRDefault="005404B5">
      <w:pPr>
        <w:spacing w:after="90" w:line="280" w:lineRule="auto"/>
      </w:pPr>
      <w:r>
        <w:rPr>
          <w:b/>
          <w:bCs/>
          <w:color w:val="0F6B5C"/>
          <w:sz w:val="21"/>
          <w:szCs w:val="21"/>
        </w:rPr>
        <w:t xml:space="preserve">1.  </w:t>
      </w:r>
      <w:r>
        <w:rPr>
          <w:color w:val="1F2A2E"/>
          <w:sz w:val="21"/>
          <w:szCs w:val="21"/>
        </w:rPr>
        <w:t>Review this proposal against the agreed Feature Documentation and PRD scope</w:t>
      </w:r>
    </w:p>
    <w:p w14:paraId="759C3D3C" w14:textId="77777777" w:rsidR="005578AA" w:rsidRDefault="005404B5">
      <w:pPr>
        <w:spacing w:after="90" w:line="280" w:lineRule="auto"/>
      </w:pPr>
      <w:r>
        <w:rPr>
          <w:b/>
          <w:bCs/>
          <w:color w:val="0F6B5C"/>
          <w:sz w:val="21"/>
          <w:szCs w:val="21"/>
        </w:rPr>
        <w:t xml:space="preserve">2.  </w:t>
      </w:r>
      <w:r>
        <w:rPr>
          <w:color w:val="1F2A2E"/>
          <w:sz w:val="21"/>
          <w:szCs w:val="21"/>
        </w:rPr>
        <w:t>Confirm the Phase 0 start date and named points of contact for credentials and UAT</w:t>
      </w:r>
    </w:p>
    <w:p w14:paraId="05E615EB" w14:textId="77777777" w:rsidR="005578AA" w:rsidRDefault="005404B5">
      <w:pPr>
        <w:spacing w:after="90" w:line="280" w:lineRule="auto"/>
      </w:pPr>
      <w:r>
        <w:rPr>
          <w:b/>
          <w:bCs/>
          <w:color w:val="0F6B5C"/>
          <w:sz w:val="21"/>
          <w:szCs w:val="21"/>
        </w:rPr>
        <w:t xml:space="preserve">3.  </w:t>
      </w:r>
      <w:r>
        <w:rPr>
          <w:color w:val="1F2A2E"/>
          <w:sz w:val="21"/>
          <w:szCs w:val="21"/>
        </w:rPr>
        <w:t xml:space="preserve">Sign off below to accept this proposal and authorise Phase 0 mobilisation (milestone M1).</w:t>
      </w:r>
    </w:p>
    <w:p w14:paraId="66E39A3B" w14:textId="77777777" w:rsidR="005578AA" w:rsidRDefault="005578AA">
      <w:pPr>
        <w:spacing w:after="2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0"/>
        <w:gridCol w:w="3850"/>
        <w:gridCol w:w="3850"/>
      </w:tblGrid>
      <w:tr w:rsidR="005578AA" w14:paraId="659F50B4" w14:textId="77777777">
        <w:tblPrEx>
          <w:tblCellMar>
            <w:top w:w="0" w:type="dxa"/>
            <w:bottom w:w="0" w:type="dxa"/>
          </w:tblCellMar>
        </w:tblPrEx>
        <w:trPr>
          <w:cantSplit/>
          <w:tblHeader/>
        </w:trPr>
        <w:tc>
          <w:tcPr>
            <w:tcW w:w="1650" w:type="dxa"/>
            <w:shd w:val="clear" w:color="auto" w:fill="0F6B5C"/>
            <w:tcMar>
              <w:top w:w="120" w:type="dxa"/>
              <w:left w:w="140" w:type="dxa"/>
              <w:bottom w:w="120" w:type="dxa"/>
              <w:right w:w="140" w:type="dxa"/>
            </w:tcMar>
            <w:vAlign w:val="center"/>
          </w:tcPr>
          <w:p w14:paraId="44A0BCAC" w14:textId="77777777" w:rsidR="005578AA" w:rsidRDefault="005578AA"/>
        </w:tc>
        <w:tc>
          <w:tcPr>
            <w:tcW w:w="3850" w:type="dxa"/>
            <w:shd w:val="clear" w:color="auto" w:fill="0F6B5C"/>
            <w:tcMar>
              <w:top w:w="120" w:type="dxa"/>
              <w:left w:w="140" w:type="dxa"/>
              <w:bottom w:w="120" w:type="dxa"/>
              <w:right w:w="140" w:type="dxa"/>
            </w:tcMar>
            <w:vAlign w:val="center"/>
          </w:tcPr>
          <w:p w14:paraId="6572FA42" w14:textId="77777777" w:rsidR="005578AA" w:rsidRDefault="005404B5">
            <w:pPr>
              <w:jc w:val="center"/>
            </w:pPr>
            <w:r>
              <w:rPr>
                <w:b/>
                <w:bCs/>
                <w:color w:val="FFFFFF"/>
                <w:sz w:val="19"/>
                <w:szCs w:val="19"/>
              </w:rPr>
              <w:t xml:space="preserve">Venture Assist / </w:t>
            </w:r>
            <w:proofErr w:type="spellStart"/>
            <w:r>
              <w:rPr>
                <w:b/>
                <w:bCs/>
                <w:color w:val="FFFFFF"/>
                <w:sz w:val="19"/>
                <w:szCs w:val="19"/>
              </w:rPr>
              <w:t>Srivatsan</w:t>
            </w:r>
            <w:proofErr w:type="spellEnd"/>
            <w:r>
              <w:rPr>
                <w:b/>
                <w:bCs/>
                <w:color w:val="FFFFFF"/>
                <w:sz w:val="19"/>
                <w:szCs w:val="19"/>
              </w:rPr>
              <w:t xml:space="preserve"> &amp; Associates</w:t>
            </w:r>
          </w:p>
        </w:tc>
        <w:tc>
          <w:tcPr>
            <w:tcW w:w="3850" w:type="dxa"/>
            <w:shd w:val="clear" w:color="auto" w:fill="0F6B5C"/>
            <w:tcMar>
              <w:top w:w="120" w:type="dxa"/>
              <w:left w:w="140" w:type="dxa"/>
              <w:bottom w:w="120" w:type="dxa"/>
              <w:right w:w="140" w:type="dxa"/>
            </w:tcMar>
            <w:vAlign w:val="center"/>
          </w:tcPr>
          <w:p w14:paraId="06F7A5C6" w14:textId="77777777" w:rsidR="005578AA" w:rsidRDefault="005404B5">
            <w:pPr>
              <w:jc w:val="center"/>
            </w:pPr>
            <w:r>
              <w:rPr>
                <w:b/>
                <w:bCs/>
                <w:color w:val="FFFFFF"/>
                <w:sz w:val="19"/>
                <w:szCs w:val="19"/>
              </w:rPr>
              <w:t>Development Team</w:t>
            </w:r>
          </w:p>
        </w:tc>
      </w:tr>
      <w:tr w:rsidR="005578AA" w14:paraId="4C422914" w14:textId="77777777">
        <w:tblPrEx>
          <w:tblCellMar>
            <w:top w:w="0" w:type="dxa"/>
            <w:bottom w:w="0" w:type="dxa"/>
          </w:tblCellMar>
        </w:tblPrEx>
        <w:trPr>
          <w:cantSplit/>
        </w:trPr>
        <w:tc>
          <w:tcPr>
            <w:tcW w:w="1650" w:type="dxa"/>
            <w:tcMar>
              <w:top w:w="120" w:type="dxa"/>
              <w:left w:w="140" w:type="dxa"/>
              <w:bottom w:w="120" w:type="dxa"/>
              <w:right w:w="140" w:type="dxa"/>
            </w:tcMar>
            <w:vAlign w:val="center"/>
          </w:tcPr>
          <w:p w14:paraId="2BE7F6F0" w14:textId="77777777" w:rsidR="005578AA" w:rsidRDefault="005404B5">
            <w:r>
              <w:rPr>
                <w:color w:val="1F2A2E"/>
                <w:sz w:val="19"/>
                <w:szCs w:val="19"/>
              </w:rPr>
              <w:t>Name</w:t>
            </w:r>
          </w:p>
        </w:tc>
        <w:tc>
          <w:tcPr>
            <w:tcW w:w="3850" w:type="dxa"/>
            <w:tcMar>
              <w:top w:w="120" w:type="dxa"/>
              <w:left w:w="140" w:type="dxa"/>
              <w:bottom w:w="120" w:type="dxa"/>
              <w:right w:w="140" w:type="dxa"/>
            </w:tcMar>
            <w:vAlign w:val="center"/>
          </w:tcPr>
          <w:p w14:paraId="7CF91E17" w14:textId="77777777" w:rsidR="005578AA" w:rsidRDefault="005578AA">
            <w:pPr>
              <w:jc w:val="center"/>
            </w:pPr>
          </w:p>
        </w:tc>
        <w:tc>
          <w:tcPr>
            <w:tcW w:w="3850" w:type="dxa"/>
            <w:tcMar>
              <w:top w:w="120" w:type="dxa"/>
              <w:left w:w="140" w:type="dxa"/>
              <w:bottom w:w="120" w:type="dxa"/>
              <w:right w:w="140" w:type="dxa"/>
            </w:tcMar>
            <w:vAlign w:val="center"/>
          </w:tcPr>
          <w:p w14:paraId="7C044E70" w14:textId="77777777" w:rsidR="005578AA" w:rsidRDefault="005578AA">
            <w:pPr>
              <w:jc w:val="center"/>
            </w:pPr>
          </w:p>
        </w:tc>
      </w:tr>
      <w:tr w:rsidR="005578AA" w14:paraId="33FBFD3A" w14:textId="77777777">
        <w:tblPrEx>
          <w:tblCellMar>
            <w:top w:w="0" w:type="dxa"/>
            <w:bottom w:w="0" w:type="dxa"/>
          </w:tblCellMar>
        </w:tblPrEx>
        <w:trPr>
          <w:cantSplit/>
        </w:trPr>
        <w:tc>
          <w:tcPr>
            <w:tcW w:w="1650" w:type="dxa"/>
            <w:shd w:val="clear" w:color="auto" w:fill="E4F1EE"/>
            <w:tcMar>
              <w:top w:w="120" w:type="dxa"/>
              <w:left w:w="140" w:type="dxa"/>
              <w:bottom w:w="120" w:type="dxa"/>
              <w:right w:w="140" w:type="dxa"/>
            </w:tcMar>
            <w:vAlign w:val="center"/>
          </w:tcPr>
          <w:p w14:paraId="212ED0FD" w14:textId="77777777" w:rsidR="005578AA" w:rsidRDefault="005404B5">
            <w:r>
              <w:rPr>
                <w:color w:val="1F2A2E"/>
                <w:sz w:val="19"/>
                <w:szCs w:val="19"/>
              </w:rPr>
              <w:t>Signature</w:t>
            </w:r>
          </w:p>
        </w:tc>
        <w:tc>
          <w:tcPr>
            <w:tcW w:w="3850" w:type="dxa"/>
            <w:shd w:val="clear" w:color="auto" w:fill="E4F1EE"/>
            <w:tcMar>
              <w:top w:w="120" w:type="dxa"/>
              <w:left w:w="140" w:type="dxa"/>
              <w:bottom w:w="120" w:type="dxa"/>
              <w:right w:w="140" w:type="dxa"/>
            </w:tcMar>
            <w:vAlign w:val="center"/>
          </w:tcPr>
          <w:p w14:paraId="1C1442E5" w14:textId="77777777" w:rsidR="005578AA" w:rsidRDefault="005578AA">
            <w:pPr>
              <w:jc w:val="center"/>
            </w:pPr>
          </w:p>
        </w:tc>
        <w:tc>
          <w:tcPr>
            <w:tcW w:w="3850" w:type="dxa"/>
            <w:shd w:val="clear" w:color="auto" w:fill="E4F1EE"/>
            <w:tcMar>
              <w:top w:w="120" w:type="dxa"/>
              <w:left w:w="140" w:type="dxa"/>
              <w:bottom w:w="120" w:type="dxa"/>
              <w:right w:w="140" w:type="dxa"/>
            </w:tcMar>
            <w:vAlign w:val="center"/>
          </w:tcPr>
          <w:p w14:paraId="5056FB85" w14:textId="77777777" w:rsidR="005578AA" w:rsidRDefault="005578AA">
            <w:pPr>
              <w:jc w:val="center"/>
            </w:pPr>
          </w:p>
        </w:tc>
      </w:tr>
      <w:tr w:rsidR="005578AA" w14:paraId="435E533E" w14:textId="77777777">
        <w:tblPrEx>
          <w:tblCellMar>
            <w:top w:w="0" w:type="dxa"/>
            <w:bottom w:w="0" w:type="dxa"/>
          </w:tblCellMar>
        </w:tblPrEx>
        <w:trPr>
          <w:cantSplit/>
        </w:trPr>
        <w:tc>
          <w:tcPr>
            <w:tcW w:w="1650" w:type="dxa"/>
            <w:tcMar>
              <w:top w:w="120" w:type="dxa"/>
              <w:left w:w="140" w:type="dxa"/>
              <w:bottom w:w="120" w:type="dxa"/>
              <w:right w:w="140" w:type="dxa"/>
            </w:tcMar>
            <w:vAlign w:val="center"/>
          </w:tcPr>
          <w:p w14:paraId="652E60BA" w14:textId="77777777" w:rsidR="005578AA" w:rsidRDefault="005404B5">
            <w:r>
              <w:rPr>
                <w:color w:val="1F2A2E"/>
                <w:sz w:val="19"/>
                <w:szCs w:val="19"/>
              </w:rPr>
              <w:t>Date</w:t>
            </w:r>
          </w:p>
        </w:tc>
        <w:tc>
          <w:tcPr>
            <w:tcW w:w="3850" w:type="dxa"/>
            <w:tcMar>
              <w:top w:w="120" w:type="dxa"/>
              <w:left w:w="140" w:type="dxa"/>
              <w:bottom w:w="120" w:type="dxa"/>
              <w:right w:w="140" w:type="dxa"/>
            </w:tcMar>
            <w:vAlign w:val="center"/>
          </w:tcPr>
          <w:p w14:paraId="3F41A46D" w14:textId="77777777" w:rsidR="005578AA" w:rsidRDefault="005578AA">
            <w:pPr>
              <w:jc w:val="center"/>
            </w:pPr>
          </w:p>
        </w:tc>
        <w:tc>
          <w:tcPr>
            <w:tcW w:w="3850" w:type="dxa"/>
            <w:tcMar>
              <w:top w:w="120" w:type="dxa"/>
              <w:left w:w="140" w:type="dxa"/>
              <w:bottom w:w="120" w:type="dxa"/>
              <w:right w:w="140" w:type="dxa"/>
            </w:tcMar>
            <w:vAlign w:val="center"/>
          </w:tcPr>
          <w:p w14:paraId="544DAFCE" w14:textId="77777777" w:rsidR="005578AA" w:rsidRDefault="005578AA">
            <w:pPr>
              <w:jc w:val="center"/>
            </w:pPr>
          </w:p>
        </w:tc>
      </w:tr>
    </w:tbl>
    <w:p w14:paraId="14AC5076" w14:textId="77777777" w:rsidR="005404B5" w:rsidRDefault="005404B5"/>
    <w:sectPr w:rsidR="00000000">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Latha">
    <w:panose1 w:val="020B0604020202020204"/>
    <w:charset w:val="01"/>
    <w:family w:val="roman"/>
    <w:pitch w:val="variable"/>
    <w:sig w:usb0="00040000" w:usb1="00000000" w:usb2="00000000" w:usb3="00000000" w:csb0="00000000" w:csb1="00000000"/>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E1BED"/>
    <w:multiLevelType w:val="hybridMultilevel"/>
    <w:tmpl w:val="FFFFFFFF"/>
    <w:lvl w:ilvl="0" w:tplc="1CC876A0">
      <w:start w:val="1"/>
      <w:numFmt w:val="bullet"/>
      <w:lvlText w:val="●"/>
      <w:lvlJc w:val="left"/>
      <w:pPr>
        <w:ind w:left="720" w:hanging="360"/>
      </w:pPr>
    </w:lvl>
    <w:lvl w:ilvl="1" w:tplc="775ED3C2">
      <w:start w:val="1"/>
      <w:numFmt w:val="bullet"/>
      <w:lvlText w:val="○"/>
      <w:lvlJc w:val="left"/>
      <w:pPr>
        <w:ind w:left="1440" w:hanging="360"/>
      </w:pPr>
    </w:lvl>
    <w:lvl w:ilvl="2" w:tplc="3836C6D6">
      <w:start w:val="1"/>
      <w:numFmt w:val="bullet"/>
      <w:lvlText w:val="■"/>
      <w:lvlJc w:val="left"/>
      <w:pPr>
        <w:ind w:left="2160" w:hanging="360"/>
      </w:pPr>
    </w:lvl>
    <w:lvl w:ilvl="3" w:tplc="ABEE6626">
      <w:start w:val="1"/>
      <w:numFmt w:val="bullet"/>
      <w:lvlText w:val="●"/>
      <w:lvlJc w:val="left"/>
      <w:pPr>
        <w:ind w:left="2880" w:hanging="360"/>
      </w:pPr>
    </w:lvl>
    <w:lvl w:ilvl="4" w:tplc="39DE62BA">
      <w:start w:val="1"/>
      <w:numFmt w:val="bullet"/>
      <w:lvlText w:val="○"/>
      <w:lvlJc w:val="left"/>
      <w:pPr>
        <w:ind w:left="3600" w:hanging="360"/>
      </w:pPr>
    </w:lvl>
    <w:lvl w:ilvl="5" w:tplc="EBB89C5C">
      <w:start w:val="1"/>
      <w:numFmt w:val="bullet"/>
      <w:lvlText w:val="■"/>
      <w:lvlJc w:val="left"/>
      <w:pPr>
        <w:ind w:left="4320" w:hanging="360"/>
      </w:pPr>
    </w:lvl>
    <w:lvl w:ilvl="6" w:tplc="1E22891A">
      <w:start w:val="1"/>
      <w:numFmt w:val="bullet"/>
      <w:lvlText w:val="●"/>
      <w:lvlJc w:val="left"/>
      <w:pPr>
        <w:ind w:left="5040" w:hanging="360"/>
      </w:pPr>
    </w:lvl>
    <w:lvl w:ilvl="7" w:tplc="0F2423B2">
      <w:start w:val="1"/>
      <w:numFmt w:val="bullet"/>
      <w:lvlText w:val="●"/>
      <w:lvlJc w:val="left"/>
      <w:pPr>
        <w:ind w:left="5760" w:hanging="360"/>
      </w:pPr>
    </w:lvl>
    <w:lvl w:ilvl="8" w:tplc="B038F15C">
      <w:start w:val="1"/>
      <w:numFmt w:val="bullet"/>
      <w:lvlText w:val="●"/>
      <w:lvlJc w:val="left"/>
      <w:pPr>
        <w:ind w:left="6480" w:hanging="360"/>
      </w:pPr>
    </w:lvl>
  </w:abstractNum>
  <w:num w:numId="1" w16cid:durableId="19903538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7"/>
  <w:displayBackgroundShape/>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8AA"/>
    <w:rsid w:val="005404B5"/>
    <w:rsid w:val="005578AA"/>
    <w:rsid w:val="00C719E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ecimalSymbol w:val="."/>
  <w:listSeparator w:val=","/>
  <w14:docId w14:val="22B5FED5"/>
  <w15:docId w15:val="{E7D9C264-7941-B746-9FB3-F9DB6FFE8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US"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2289</Words>
  <Characters>13048</Characters>
  <Application>Microsoft Office Word</Application>
  <DocSecurity>0</DocSecurity>
  <Lines>108</Lines>
  <Paragraphs>30</Paragraphs>
  <ScaleCrop>false</ScaleCrop>
  <Company/>
  <LinksUpToDate>false</LinksUpToDate>
  <CharactersWithSpaces>15307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Sendhil Kumar</cp:lastModifiedBy>
  <cp:revision>2</cp:revision>
  <dcterms:created xsi:type="dcterms:W3CDTF">2026-09-12T11:44:00Z</dcterms:created>
  <dcterms:modified xsi:type="dcterms:W3CDTF">2026-09-12T11:44:00Z</dcterms:modified>
</cp:coreProperties>
</file>