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B573" w14:textId="77777777" w:rsidR="005578AA" w:rsidRDefault="005404B5">
      <w:pPr>
        <w:spacing w:after="40"/>
      </w:pPr>
      <w:r>
        <w:rPr>
          <w:b/>
          <w:bCs/>
          <w:color w:val="0F6B5C"/>
          <w:sz w:val="44"/>
          <w:szCs w:val="44"/>
        </w:rPr>
        <w:t>Software Development Proposal</w:t>
      </w:r>
    </w:p>
    <w:p w14:paraId="1B75C144" w14:textId="77777777" w:rsidR="005578AA" w:rsidRDefault="005404B5">
      <w:pPr>
        <w:spacing w:after="200"/>
      </w:pPr>
      <w:r>
        <w:rPr>
          <w:b/>
          <w:bCs/>
          <w:color w:val="B8860B"/>
          <w:sz w:val="26"/>
          <w:szCs w:val="26"/>
        </w:rPr>
        <w:t>CAOS — Multi-Agent Practice Automation Platform</w:t>
      </w:r>
    </w:p>
    <w:p w14:paraId="0F8401EE" w14:textId="77777777" w:rsidR="005578AA" w:rsidRDefault="005404B5">
      <w:pPr>
        <w:spacing w:after="40"/>
      </w:pPr>
      <w:r>
        <w:rPr>
          <w:color w:val="5A6B6E"/>
        </w:rPr>
        <w:t xml:space="preserve">Prepared for: Venture Assist / </w:t>
      </w:r>
      <w:proofErr w:type="spellStart"/>
      <w:r>
        <w:rPr>
          <w:color w:val="5A6B6E"/>
        </w:rPr>
        <w:t>Srivatsan</w:t>
      </w:r>
      <w:proofErr w:type="spellEnd"/>
      <w:r>
        <w:rPr>
          <w:color w:val="5A6B6E"/>
        </w:rPr>
        <w:t xml:space="preserve"> &amp; Associates</w:t>
      </w:r>
    </w:p>
    <w:p w14:paraId="564AD217" w14:textId="77777777" w:rsidR="005578AA" w:rsidRDefault="005404B5">
      <w:pPr>
        <w:spacing w:after="40"/>
      </w:pPr>
      <w:r>
        <w:rPr>
          <w:color w:val="5A6B6E"/>
        </w:rPr>
        <w:t>Build model: AI-Accelerated Engineering (Claude Code, senior-reviewed)</w:t>
      </w:r>
    </w:p>
    <w:p w14:paraId="0F6A92E7" w14:textId="77777777" w:rsidR="005578AA" w:rsidRDefault="005404B5">
      <w:pPr>
        <w:spacing w:after="40"/>
      </w:pPr>
      <w:r>
        <w:rPr>
          <w:color w:val="5A6B6E"/>
        </w:rPr>
        <w:t>Date: September 2026</w:t>
      </w:r>
    </w:p>
    <w:p w14:paraId="06925388" w14:textId="77777777" w:rsidR="005578AA" w:rsidRDefault="005578AA">
      <w:pPr>
        <w:spacing w:after="160"/>
      </w:pPr>
    </w:p>
    <w:p w14:paraId="369B30F2" w14:textId="77777777" w:rsidR="005578AA" w:rsidRDefault="005404B5">
      <w:pPr>
        <w:spacing w:after="320" w:line="300" w:lineRule="auto"/>
      </w:pPr>
      <w:r>
        <w:rPr>
          <w:i/>
          <w:iCs/>
          <w:color w:val="5A6B6E"/>
          <w:sz w:val="21"/>
          <w:szCs w:val="21"/>
        </w:rPr>
        <w:t>This proposal covers the end-to-end development of CAOS, scoped against the agreed Feature Documentation, PRD, ER model, and ADR 0011 (Multi-Backend Bookkeeping Connector). It sets out the solution, the build approach, a realistic phased timeline, and investment required to take the platform from design-complete to production-ready.</w:t>
      </w:r>
    </w:p>
    <w:p w14:paraId="7AB171A7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1. Executive Summary</w:t>
      </w:r>
    </w:p>
    <w:p w14:paraId="04620749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CAOS is a multi-agent automation platform for CA practices, covering document intake, GST/TDS reconciliation and compliance, client communication, working papers, and practice management — with full read/write parity across Tally and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Books.</w:t>
      </w:r>
    </w:p>
    <w:p w14:paraId="3FBE397C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platform is design-complete: the Feature Documentation, PRD/Sprint Plan addendum, ER model (23 entities), and connector architecture (ADR 0011) are in place. What remains is implementation.</w:t>
      </w:r>
    </w:p>
    <w:p w14:paraId="7FB02C33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This proposal prices that implementation using an AI-accelerated engineering model — Claude Code as the primary development tool, applied under senior technical and compliance review at every phase gate. On this model, the full 107-feature roadmap is deliverable in approximately 5 months for ₹24L–35.5L.</w:t>
      </w:r>
    </w:p>
    <w:p w14:paraId="249C9EC9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2. Background &amp; Objectives</w:t>
      </w:r>
    </w:p>
    <w:p w14:paraId="27843B0B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Manual GST/TDS compliance work is the single largest constraint on practice growth: reconciliation, document chasing, and filing prep alone consume roughly 10 hours per client per month at a typical mid-size engagement, capping how many clients a fixed team can serve.</w:t>
      </w:r>
    </w:p>
    <w:p w14:paraId="16D9ED6A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A mid-project discovery — that a significant share of the client base runs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 alongside or instead of Tally — expanded the platform's scope from single-backend to full dual-backend read/write parity, which is now reflected across the architecture, data model, and feature backlog.</w:t>
      </w:r>
    </w:p>
    <w:p w14:paraId="4175BBDF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Objectives</w:t>
      </w:r>
    </w:p>
    <w:p w14:paraId="5CB534F9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Automate the highest-time-cost workflows (reconciliation, intake, TDS, bank reconciliation) while keeping every judgment call — mismatches, exceptions, client-facing tone — in front of the auditor or staff member responsible for it</w:t>
      </w:r>
    </w:p>
    <w:p w14:paraId="2EBE21EE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Support Tally and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 clients on one platform, without a second product or a degraded experience for either backend</w:t>
      </w:r>
    </w:p>
    <w:p w14:paraId="4F286966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Give the practice visibility into its own capacity, so automation gains translate into more clients served, not just faster busywork</w:t>
      </w:r>
    </w:p>
    <w:p w14:paraId="5C6041E6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3. Proposed Solution: The CAOS Platform</w:t>
      </w:r>
    </w:p>
    <w:p w14:paraId="73CCF835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Platform core</w:t>
      </w:r>
    </w:p>
    <w:p w14:paraId="195AF96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Task engine and dashboard — the shared system every agent and every staff member works from</w:t>
      </w:r>
    </w:p>
    <w:p w14:paraId="521F7AE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proofErr w:type="spellStart"/>
      <w:r>
        <w:rPr>
          <w:color w:val="1F2A2E"/>
          <w:sz w:val="21"/>
          <w:szCs w:val="21"/>
        </w:rPr>
        <w:t>BooksConnector</w:t>
      </w:r>
      <w:proofErr w:type="spellEnd"/>
      <w:r>
        <w:rPr>
          <w:color w:val="1F2A2E"/>
          <w:sz w:val="21"/>
          <w:szCs w:val="21"/>
        </w:rPr>
        <w:t xml:space="preserve"> interface with a </w:t>
      </w:r>
      <w:proofErr w:type="spellStart"/>
      <w:r>
        <w:rPr>
          <w:color w:val="1F2A2E"/>
          <w:sz w:val="21"/>
          <w:szCs w:val="21"/>
        </w:rPr>
        <w:t>TallyAdapter</w:t>
      </w:r>
      <w:proofErr w:type="spellEnd"/>
      <w:r>
        <w:rPr>
          <w:color w:val="1F2A2E"/>
          <w:sz w:val="21"/>
          <w:szCs w:val="21"/>
        </w:rPr>
        <w:t xml:space="preserve"> and a </w:t>
      </w:r>
      <w:proofErr w:type="spellStart"/>
      <w:r>
        <w:rPr>
          <w:color w:val="1F2A2E"/>
          <w:sz w:val="21"/>
          <w:szCs w:val="21"/>
        </w:rPr>
        <w:t>ZohoAdapter</w:t>
      </w:r>
      <w:proofErr w:type="spellEnd"/>
      <w:r>
        <w:rPr>
          <w:color w:val="1F2A2E"/>
          <w:sz w:val="21"/>
          <w:szCs w:val="21"/>
        </w:rPr>
        <w:t>, so agents read/write against either backend through one contract (ADR 0011)</w:t>
      </w:r>
    </w:p>
    <w:p w14:paraId="1CBBB602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Design B ("Capacity") UI system in teal/amber, applied consistently across all client- and staff-facing surfaces</w:t>
      </w:r>
    </w:p>
    <w:p w14:paraId="68423162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Agent suite (in scope for this proposal)</w:t>
      </w:r>
    </w:p>
    <w:p w14:paraId="4E6D6174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Document Intake Agent — classification, OCR extraction, auto-filing, pending-document reminders</w:t>
      </w:r>
    </w:p>
    <w:p w14:paraId="55408BB6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Reconciliation Agent — GSTR-2A/2B vs purchase register matching, exception routing</w:t>
      </w:r>
    </w:p>
    <w:p w14:paraId="283CA687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Validation/Compliance Agent — pre-filing checks across GSTR-1/3B, HSN codes, tax rates, TDS</w:t>
      </w:r>
    </w:p>
    <w:p w14:paraId="39CD419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Client Communication Agent — </w:t>
      </w:r>
      <w:proofErr w:type="spellStart"/>
      <w:r>
        <w:rPr>
          <w:color w:val="1F2A2E"/>
          <w:sz w:val="21"/>
          <w:szCs w:val="21"/>
        </w:rPr>
        <w:t>templated</w:t>
      </w:r>
      <w:proofErr w:type="spellEnd"/>
      <w:r>
        <w:rPr>
          <w:color w:val="1F2A2E"/>
          <w:sz w:val="21"/>
          <w:szCs w:val="21"/>
        </w:rPr>
        <w:t xml:space="preserve"> reminders, judgment-gated query drafting</w:t>
      </w:r>
    </w:p>
    <w:p w14:paraId="125B0332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Bookkeeping/Voucher Entry Agent — automated entry from client source documents into Tally or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</w:t>
      </w:r>
    </w:p>
    <w:p w14:paraId="489662D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TDS/TCS Return Automation — 24Q/26Q/27EQ matching and quarterly return prep</w:t>
      </w:r>
    </w:p>
    <w:p w14:paraId="4C5B9FFC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Bank Reconciliation Agent — statement-to-books auto-matching with exception review</w:t>
      </w:r>
    </w:p>
    <w:p w14:paraId="72156F5E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Working Paper Agent — auto-populated engagement documentation</w:t>
      </w:r>
    </w:p>
    <w:p w14:paraId="3B5E6DC6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Practice Management Agent — capacity, workload, and billing visibility across the firm</w:t>
      </w:r>
    </w:p>
    <w:p w14:paraId="30A60BBD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Notice/Scrutiny Tracker Agent and the Phase-2 value-adds (Financial Statement Analysis, ROC Tracker, Fixed Asset Register, Audit Sampling, Knowledge Base Assistant) are addressed under Out of Scope.</w:t>
      </w:r>
    </w:p>
    <w:p w14:paraId="6D1D1E16" w14:textId="77777777" w:rsidR="005578AA" w:rsidRDefault="005404B5">
      <w:r>
        <w:br w:type="page"/>
      </w:r>
    </w:p>
    <w:p w14:paraId="11181653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4. Scope of Work</w:t>
      </w:r>
    </w:p>
    <w:p w14:paraId="641D2A05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Scope is drawn directly from the agreed feature backlog: 107 features, </w:t>
      </w:r>
      <w:proofErr w:type="spellStart"/>
      <w:r>
        <w:rPr>
          <w:color w:val="1F2A2E"/>
          <w:sz w:val="21"/>
          <w:szCs w:val="21"/>
        </w:rPr>
        <w:t>MoSCoW</w:t>
      </w:r>
      <w:proofErr w:type="spellEnd"/>
      <w:r>
        <w:rPr>
          <w:color w:val="1F2A2E"/>
          <w:sz w:val="21"/>
          <w:szCs w:val="21"/>
        </w:rPr>
        <w:t>-prioritized across Phase 0–4, built on a 23-entity data model spanning the Core Platform and Compliance/Billing domains.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50"/>
      </w:tblGrid>
      <w:tr w:rsidR="005578AA" w14:paraId="421AC2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E1E0AD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72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752509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Modules Delivered</w:t>
            </w:r>
          </w:p>
        </w:tc>
      </w:tr>
      <w:tr w:rsidR="005578AA" w14:paraId="3BB73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A2C378" w14:textId="77777777" w:rsidR="005578AA" w:rsidRDefault="005404B5">
            <w:r>
              <w:rPr>
                <w:color w:val="1F2A2E"/>
                <w:sz w:val="19"/>
                <w:szCs w:val="19"/>
              </w:rPr>
              <w:t>Phase 0</w:t>
            </w:r>
          </w:p>
        </w:tc>
        <w:tc>
          <w:tcPr>
            <w:tcW w:w="7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319893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Development readiness: architecture, environment, and standards gap closure</w:t>
            </w:r>
          </w:p>
        </w:tc>
      </w:tr>
      <w:tr w:rsidR="005578AA" w14:paraId="1023C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1045FF" w14:textId="77777777" w:rsidR="005578AA" w:rsidRDefault="005404B5">
            <w:r>
              <w:rPr>
                <w:color w:val="1F2A2E"/>
                <w:sz w:val="19"/>
                <w:szCs w:val="19"/>
              </w:rPr>
              <w:t>Phase 1</w:t>
            </w:r>
          </w:p>
        </w:tc>
        <w:tc>
          <w:tcPr>
            <w:tcW w:w="72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5A4C09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Task engine, dashboard, </w:t>
            </w:r>
            <w:proofErr w:type="spellStart"/>
            <w:r>
              <w:rPr>
                <w:color w:val="1F2A2E"/>
                <w:sz w:val="19"/>
                <w:szCs w:val="19"/>
              </w:rPr>
              <w:t>BooksConnector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(Tally + </w:t>
            </w:r>
            <w:proofErr w:type="spellStart"/>
            <w:r>
              <w:rPr>
                <w:color w:val="1F2A2E"/>
                <w:sz w:val="19"/>
                <w:szCs w:val="19"/>
              </w:rPr>
              <w:t>Zoho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adapters), Document Intake Agent</w:t>
            </w:r>
          </w:p>
        </w:tc>
      </w:tr>
      <w:tr w:rsidR="005578AA" w14:paraId="62CBE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93B96E" w14:textId="77777777" w:rsidR="005578AA" w:rsidRDefault="005404B5">
            <w:r>
              <w:rPr>
                <w:color w:val="1F2A2E"/>
                <w:sz w:val="19"/>
                <w:szCs w:val="19"/>
              </w:rPr>
              <w:t>Phase 2</w:t>
            </w:r>
          </w:p>
        </w:tc>
        <w:tc>
          <w:tcPr>
            <w:tcW w:w="7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3D900B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Bookkeeping/Voucher Entry Agent, Client Communication Agent</w:t>
            </w:r>
          </w:p>
        </w:tc>
      </w:tr>
      <w:tr w:rsidR="005578AA" w14:paraId="2385F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D3D52D" w14:textId="77777777" w:rsidR="005578AA" w:rsidRDefault="005404B5">
            <w:r>
              <w:rPr>
                <w:color w:val="1F2A2E"/>
                <w:sz w:val="19"/>
                <w:szCs w:val="19"/>
              </w:rPr>
              <w:t>Phase 3</w:t>
            </w:r>
          </w:p>
        </w:tc>
        <w:tc>
          <w:tcPr>
            <w:tcW w:w="72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A607C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Reconciliation Agent, Validation/Compliance Agent, TDS/TCS Return Automation</w:t>
            </w:r>
          </w:p>
        </w:tc>
      </w:tr>
      <w:tr w:rsidR="005578AA" w14:paraId="7C9B1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904C3D" w14:textId="77777777" w:rsidR="005578AA" w:rsidRDefault="005404B5">
            <w:r>
              <w:rPr>
                <w:color w:val="1F2A2E"/>
                <w:sz w:val="19"/>
                <w:szCs w:val="19"/>
              </w:rPr>
              <w:t>Phase 4</w:t>
            </w:r>
          </w:p>
        </w:tc>
        <w:tc>
          <w:tcPr>
            <w:tcW w:w="72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C9B114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Bank Reconciliation Agent, Working Paper Agent, Practice Management reporting</w:t>
            </w:r>
          </w:p>
        </w:tc>
      </w:tr>
    </w:tbl>
    <w:p w14:paraId="6587DD32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5. Development Methodology — AI-Accelerated Engineering</w:t>
      </w:r>
    </w:p>
    <w:p w14:paraId="283DBC21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platform is built with Claude Code as the primary implementation tool, used by senior engineers rather than as a lightly-used aid — it drafts, scaffolds, and implements against the agreed architecture, and every output is reviewed before it merges. This is what makes the timeline in Section 6 realistic rather than optimistic: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50"/>
      </w:tblGrid>
      <w:tr w:rsidR="005578AA" w14:paraId="2EE692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670638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Type of Work</w:t>
            </w:r>
          </w:p>
        </w:tc>
        <w:tc>
          <w:tcPr>
            <w:tcW w:w="49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667015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Effect of AI-Accelerated Development</w:t>
            </w:r>
          </w:p>
        </w:tc>
      </w:tr>
      <w:tr w:rsidR="005578AA" w14:paraId="2CF7C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7CB317" w14:textId="77777777" w:rsidR="005578AA" w:rsidRDefault="005404B5">
            <w:r>
              <w:rPr>
                <w:color w:val="1F2A2E"/>
                <w:sz w:val="19"/>
                <w:szCs w:val="19"/>
              </w:rPr>
              <w:t>Boilerplate, scaffolding, CRUD &amp; API layers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EF7210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Compresses sharply — largely automated under review</w:t>
            </w:r>
          </w:p>
        </w:tc>
      </w:tr>
      <w:tr w:rsidR="005578AA" w14:paraId="784AF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C93416" w14:textId="77777777" w:rsidR="005578AA" w:rsidRDefault="005404B5">
            <w:r>
              <w:rPr>
                <w:color w:val="1F2A2E"/>
                <w:sz w:val="19"/>
                <w:szCs w:val="19"/>
              </w:rPr>
              <w:t xml:space="preserve">Dual-backend connector parity (Tally ↔ </w:t>
            </w:r>
            <w:proofErr w:type="spellStart"/>
            <w:r>
              <w:rPr>
                <w:color w:val="1F2A2E"/>
                <w:sz w:val="19"/>
                <w:szCs w:val="19"/>
              </w:rPr>
              <w:t>Zoho</w:t>
            </w:r>
            <w:proofErr w:type="spellEnd"/>
            <w:r>
              <w:rPr>
                <w:color w:val="1F2A2E"/>
                <w:sz w:val="19"/>
                <w:szCs w:val="19"/>
              </w:rPr>
              <w:t>)</w:t>
            </w:r>
          </w:p>
        </w:tc>
        <w:tc>
          <w:tcPr>
            <w:tcW w:w="49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DFFF1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Compresses sharply — second adapter reuses the proven pattern</w:t>
            </w:r>
          </w:p>
        </w:tc>
      </w:tr>
      <w:tr w:rsidR="005578AA" w14:paraId="6078B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945FBF" w14:textId="77777777" w:rsidR="005578AA" w:rsidRDefault="005404B5">
            <w:r>
              <w:rPr>
                <w:color w:val="1F2A2E"/>
                <w:sz w:val="19"/>
                <w:szCs w:val="19"/>
              </w:rPr>
              <w:t xml:space="preserve">First-draft agent logic (matching, OCR wiring, </w:t>
            </w:r>
            <w:proofErr w:type="spellStart"/>
            <w:r>
              <w:rPr>
                <w:color w:val="1F2A2E"/>
                <w:sz w:val="19"/>
                <w:szCs w:val="19"/>
              </w:rPr>
              <w:t>templated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A2E"/>
                <w:sz w:val="19"/>
                <w:szCs w:val="19"/>
              </w:rPr>
              <w:t>comms</w:t>
            </w:r>
            <w:proofErr w:type="spellEnd"/>
            <w:r>
              <w:rPr>
                <w:color w:val="1F2A2E"/>
                <w:sz w:val="19"/>
                <w:szCs w:val="19"/>
              </w:rPr>
              <w:t>)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2A07C4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Compresses significantly — faster first pass, same review bar</w:t>
            </w:r>
          </w:p>
        </w:tc>
      </w:tr>
      <w:tr w:rsidR="005578AA" w14:paraId="18646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A6FB73" w14:textId="77777777" w:rsidR="005578AA" w:rsidRDefault="005404B5">
            <w:r>
              <w:rPr>
                <w:color w:val="1F2A2E"/>
                <w:sz w:val="19"/>
                <w:szCs w:val="19"/>
              </w:rPr>
              <w:t>GST/TDS correctness review &amp; compliance validation</w:t>
            </w:r>
          </w:p>
        </w:tc>
        <w:tc>
          <w:tcPr>
            <w:tcW w:w="49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0921DA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Unchanged — requires senior human sign-off regardless of tooling</w:t>
            </w:r>
          </w:p>
        </w:tc>
      </w:tr>
      <w:tr w:rsidR="005578AA" w14:paraId="2CBA8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0625A9" w14:textId="77777777" w:rsidR="005578AA" w:rsidRDefault="005404B5">
            <w:r>
              <w:rPr>
                <w:color w:val="1F2A2E"/>
                <w:sz w:val="19"/>
                <w:szCs w:val="19"/>
              </w:rPr>
              <w:t>Security review, edge-case handling, production hardening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FA49A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Unchanged — same standard, same effort</w:t>
            </w:r>
          </w:p>
        </w:tc>
      </w:tr>
    </w:tbl>
    <w:p w14:paraId="0B5F3EB1" w14:textId="77777777" w:rsidR="005578AA" w:rsidRDefault="005578AA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578AA" w14:paraId="2551B99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F1D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FF4D401" w14:textId="77777777" w:rsidR="005578AA" w:rsidRDefault="005404B5"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>Where the review discipline sits</w:t>
            </w:r>
          </w:p>
          <w:p w14:paraId="4E76240C" w14:textId="77777777" w:rsidR="005578AA" w:rsidRDefault="005404B5">
            <w:pPr>
              <w:spacing w:line="280" w:lineRule="auto"/>
            </w:pPr>
            <w:r>
              <w:rPr>
                <w:color w:val="1F2A2E"/>
                <w:sz w:val="21"/>
                <w:szCs w:val="21"/>
              </w:rPr>
              <w:t>Every phase ends at a sign-off gate, not just a code-complete date. Phase 3 (the compliance layer) carries the heaviest review load in the project — AI-accelerated code is faster to draft, not faster to certify correct against a client's actual GSTR and TDS filings.</w:t>
            </w:r>
          </w:p>
        </w:tc>
      </w:tr>
    </w:tbl>
    <w:p w14:paraId="4B4A093C" w14:textId="77777777" w:rsidR="005578AA" w:rsidRDefault="005404B5">
      <w:r>
        <w:br w:type="page"/>
      </w:r>
    </w:p>
    <w:p w14:paraId="725116CA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6. Implementation Timeline &amp; Phases</w:t>
      </w:r>
    </w:p>
    <w:p w14:paraId="2BE434FA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Total elapsed time: approximately 22 weeks (~5 months) from Phase 0 </w:t>
      </w:r>
      <w:proofErr w:type="spellStart"/>
      <w:r>
        <w:rPr>
          <w:color w:val="1F2A2E"/>
          <w:sz w:val="21"/>
          <w:szCs w:val="21"/>
        </w:rPr>
        <w:t>kickoff</w:t>
      </w:r>
      <w:proofErr w:type="spellEnd"/>
      <w:r>
        <w:rPr>
          <w:color w:val="1F2A2E"/>
          <w:sz w:val="21"/>
          <w:szCs w:val="21"/>
        </w:rPr>
        <w:t xml:space="preserve"> to handover, assuming timely client-side inputs (Tally Cloud access,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OAuth credentials, UAT turnaround).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50"/>
        <w:gridCol w:w="5100"/>
      </w:tblGrid>
      <w:tr w:rsidR="005578AA" w14:paraId="0E1CC9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D11C61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6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3AB2F8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51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F0A5FE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5578AA" w14:paraId="3C02D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5FB81F" w14:textId="77777777" w:rsidR="005578AA" w:rsidRDefault="005404B5">
            <w:r>
              <w:rPr>
                <w:color w:val="1F2A2E"/>
                <w:sz w:val="19"/>
                <w:szCs w:val="19"/>
              </w:rPr>
              <w:t>Phase 0 — Baseline &amp; Readiness</w:t>
            </w:r>
          </w:p>
        </w:tc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2723C6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1–2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944AB6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Dev Readiness Checklist signed off; API Spec, Coding Guidelines, Security Standard, and Testing Strategy updated for dual-backend</w:t>
            </w:r>
          </w:p>
        </w:tc>
      </w:tr>
      <w:tr w:rsidR="005578AA" w14:paraId="0E8C3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F1706D" w14:textId="77777777" w:rsidR="005578AA" w:rsidRDefault="005404B5">
            <w:r>
              <w:rPr>
                <w:color w:val="1F2A2E"/>
                <w:sz w:val="19"/>
                <w:szCs w:val="19"/>
              </w:rPr>
              <w:t>Phase 1 — Foundation</w:t>
            </w:r>
          </w:p>
        </w:tc>
        <w:tc>
          <w:tcPr>
            <w:tcW w:w="1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72E26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3–7</w:t>
            </w:r>
          </w:p>
        </w:tc>
        <w:tc>
          <w:tcPr>
            <w:tcW w:w="5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65983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Task engine + dashboard live in staging; </w:t>
            </w:r>
            <w:proofErr w:type="spellStart"/>
            <w:r>
              <w:rPr>
                <w:color w:val="1F2A2E"/>
                <w:sz w:val="19"/>
                <w:szCs w:val="19"/>
              </w:rPr>
              <w:t>BooksConnector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passes read/write parity tests on both adapters; Intake Agent classifying real sample documents</w:t>
            </w:r>
          </w:p>
        </w:tc>
      </w:tr>
      <w:tr w:rsidR="005578AA" w14:paraId="4B74D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37A0E7" w14:textId="77777777" w:rsidR="005578AA" w:rsidRDefault="005404B5">
            <w:r>
              <w:rPr>
                <w:color w:val="1F2A2E"/>
                <w:sz w:val="19"/>
                <w:szCs w:val="19"/>
              </w:rPr>
              <w:t>Phase 2 — Leverage Agents</w:t>
            </w:r>
          </w:p>
        </w:tc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2486E6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8–11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57FC3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Bookkeeping Agent posts verified entries to a pilot client's books; Client Communication Agent sending reviewed reminders</w:t>
            </w:r>
          </w:p>
        </w:tc>
      </w:tr>
      <w:tr w:rsidR="005578AA" w14:paraId="7A409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4744C4" w14:textId="77777777" w:rsidR="005578AA" w:rsidRDefault="005404B5">
            <w:r>
              <w:rPr>
                <w:color w:val="1F2A2E"/>
                <w:sz w:val="19"/>
                <w:szCs w:val="19"/>
              </w:rPr>
              <w:t>Phase 3 — Compliance Layer</w:t>
            </w:r>
          </w:p>
        </w:tc>
        <w:tc>
          <w:tcPr>
            <w:tcW w:w="1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25F80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12–17</w:t>
            </w:r>
          </w:p>
        </w:tc>
        <w:tc>
          <w:tcPr>
            <w:tcW w:w="5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AA1DA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Reconciliation, Validation, and TDS/TCS agents pass parallel-run testing against a completed manual filing cycle</w:t>
            </w:r>
          </w:p>
        </w:tc>
      </w:tr>
      <w:tr w:rsidR="005578AA" w14:paraId="4807D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FE82A0" w14:textId="77777777" w:rsidR="005578AA" w:rsidRDefault="005404B5">
            <w:r>
              <w:rPr>
                <w:color w:val="1F2A2E"/>
                <w:sz w:val="19"/>
                <w:szCs w:val="19"/>
              </w:rPr>
              <w:t>Phase 4 — Remaining Agents</w:t>
            </w:r>
          </w:p>
        </w:tc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5ECF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18–20</w:t>
            </w:r>
          </w:p>
        </w:tc>
        <w:tc>
          <w:tcPr>
            <w:tcW w:w="5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C1C74D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Bank Reconciliation and Working Paper agents live; Practice Management dashboard reporting real firm data</w:t>
            </w:r>
          </w:p>
        </w:tc>
      </w:tr>
      <w:tr w:rsidR="005578AA" w14:paraId="6A982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FA048" w14:textId="77777777" w:rsidR="005578AA" w:rsidRDefault="005404B5">
            <w:r>
              <w:rPr>
                <w:color w:val="1F2A2E"/>
                <w:sz w:val="19"/>
                <w:szCs w:val="19"/>
              </w:rPr>
              <w:t>UAT &amp; Handover</w:t>
            </w:r>
          </w:p>
        </w:tc>
        <w:tc>
          <w:tcPr>
            <w:tcW w:w="1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B4CBD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Weeks 21–22</w:t>
            </w:r>
          </w:p>
        </w:tc>
        <w:tc>
          <w:tcPr>
            <w:tcW w:w="5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FDB1BB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Client sign-off on acceptance criteria; production cutover; team handover and documentation delivered</w:t>
            </w:r>
          </w:p>
        </w:tc>
      </w:tr>
    </w:tbl>
    <w:p w14:paraId="694E2CDE" w14:textId="77777777" w:rsidR="005578AA" w:rsidRDefault="005578AA">
      <w:pPr>
        <w:spacing w:after="100"/>
      </w:pPr>
    </w:p>
    <w:p w14:paraId="771C409F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 xml:space="preserve">Phases run sequentially at the platform-core level (each depends on the one before it), but within Phase 1 the </w:t>
      </w:r>
      <w:proofErr w:type="spellStart"/>
      <w:r>
        <w:rPr>
          <w:color w:val="1F2A2E"/>
          <w:sz w:val="21"/>
          <w:szCs w:val="21"/>
        </w:rPr>
        <w:t>ZohoAdapter</w:t>
      </w:r>
      <w:proofErr w:type="spellEnd"/>
      <w:r>
        <w:rPr>
          <w:color w:val="1F2A2E"/>
          <w:sz w:val="21"/>
          <w:szCs w:val="21"/>
        </w:rPr>
        <w:t xml:space="preserve"> build starts as soon as the </w:t>
      </w:r>
      <w:proofErr w:type="spellStart"/>
      <w:r>
        <w:rPr>
          <w:color w:val="1F2A2E"/>
          <w:sz w:val="21"/>
          <w:szCs w:val="21"/>
        </w:rPr>
        <w:t>BooksConnector</w:t>
      </w:r>
      <w:proofErr w:type="spellEnd"/>
      <w:r>
        <w:rPr>
          <w:color w:val="1F2A2E"/>
          <w:sz w:val="21"/>
          <w:szCs w:val="21"/>
        </w:rPr>
        <w:t xml:space="preserve"> interface and </w:t>
      </w:r>
      <w:proofErr w:type="spellStart"/>
      <w:r>
        <w:rPr>
          <w:color w:val="1F2A2E"/>
          <w:sz w:val="21"/>
          <w:szCs w:val="21"/>
        </w:rPr>
        <w:t>TallyAdapter</w:t>
      </w:r>
      <w:proofErr w:type="spellEnd"/>
      <w:r>
        <w:rPr>
          <w:color w:val="1F2A2E"/>
          <w:sz w:val="21"/>
          <w:szCs w:val="21"/>
        </w:rPr>
        <w:t xml:space="preserve"> are proven — the second adapter does not wait for the first to fully close out, which is where part of the timeline compression in Section 5 shows up directly.</w:t>
      </w:r>
    </w:p>
    <w:p w14:paraId="11E81D42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7. Team &amp; Engagement Model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00"/>
        <w:gridCol w:w="4650"/>
      </w:tblGrid>
      <w:tr w:rsidR="005578AA" w14:paraId="7A699E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B72C72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1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30BF1E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Allocation</w:t>
            </w:r>
          </w:p>
        </w:tc>
        <w:tc>
          <w:tcPr>
            <w:tcW w:w="46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20DA76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5578AA" w14:paraId="620C2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EB1471" w14:textId="77777777" w:rsidR="005578AA" w:rsidRDefault="005404B5">
            <w:r>
              <w:rPr>
                <w:color w:val="1F2A2E"/>
                <w:sz w:val="19"/>
                <w:szCs w:val="19"/>
              </w:rPr>
              <w:t>Tech Lead / Architect</w:t>
            </w:r>
          </w:p>
        </w:tc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7C018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Full-time</w:t>
            </w:r>
          </w:p>
        </w:tc>
        <w:tc>
          <w:tcPr>
            <w:tcW w:w="4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526C2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Architecture ownership, Claude Code-driven implementation, phase-gate sign-off</w:t>
            </w:r>
          </w:p>
        </w:tc>
      </w:tr>
      <w:tr w:rsidR="005578AA" w14:paraId="5D8B7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7FD3D" w14:textId="77777777" w:rsidR="005578AA" w:rsidRDefault="005404B5">
            <w:r>
              <w:rPr>
                <w:color w:val="1F2A2E"/>
                <w:sz w:val="19"/>
                <w:szCs w:val="19"/>
              </w:rPr>
              <w:t>Senior Engineer</w:t>
            </w:r>
          </w:p>
        </w:tc>
        <w:tc>
          <w:tcPr>
            <w:tcW w:w="2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CAB0C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Full-time</w:t>
            </w:r>
          </w:p>
        </w:tc>
        <w:tc>
          <w:tcPr>
            <w:tcW w:w="4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EB9A4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Agent implementation, connector work, code review</w:t>
            </w:r>
          </w:p>
        </w:tc>
      </w:tr>
      <w:tr w:rsidR="005578AA" w14:paraId="49A42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C8EBCC" w14:textId="77777777" w:rsidR="005578AA" w:rsidRDefault="005404B5">
            <w:r>
              <w:rPr>
                <w:color w:val="1F2A2E"/>
                <w:sz w:val="19"/>
                <w:szCs w:val="19"/>
              </w:rPr>
              <w:t>QA / Compliance Reviewer</w:t>
            </w:r>
          </w:p>
        </w:tc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0ACE8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Part-time, scaling up in Phase 3</w:t>
            </w:r>
          </w:p>
        </w:tc>
        <w:tc>
          <w:tcPr>
            <w:tcW w:w="4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A297B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Correctness review on reconciliation/validation/TDS logic before any client-facing use</w:t>
            </w:r>
          </w:p>
        </w:tc>
      </w:tr>
      <w:tr w:rsidR="005578AA" w14:paraId="75E95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91414" w14:textId="77777777" w:rsidR="005578AA" w:rsidRDefault="005404B5">
            <w:r>
              <w:rPr>
                <w:color w:val="1F2A2E"/>
                <w:sz w:val="19"/>
                <w:szCs w:val="19"/>
              </w:rPr>
              <w:t>Project Manager</w:t>
            </w:r>
          </w:p>
        </w:tc>
        <w:tc>
          <w:tcPr>
            <w:tcW w:w="2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D425C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Part-time</w:t>
            </w:r>
          </w:p>
        </w:tc>
        <w:tc>
          <w:tcPr>
            <w:tcW w:w="4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BAD77B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Phase tracking, client communication, UAT coordination</w:t>
            </w:r>
          </w:p>
        </w:tc>
      </w:tr>
    </w:tbl>
    <w:p w14:paraId="12E43CA7" w14:textId="77777777" w:rsidR="005578AA" w:rsidRDefault="005404B5">
      <w:r>
        <w:br w:type="page"/>
      </w:r>
    </w:p>
    <w:p w14:paraId="58F7858B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8. Investment (AI-Accelerated Development)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50"/>
      </w:tblGrid>
      <w:tr w:rsidR="005578AA" w14:paraId="25EC40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CB0C26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8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9DE1CD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Investment</w:t>
            </w:r>
          </w:p>
        </w:tc>
      </w:tr>
      <w:tr w:rsidR="005578AA" w14:paraId="4D903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7AFAF3" w14:textId="77777777" w:rsidR="005578AA" w:rsidRDefault="005404B5">
            <w:r>
              <w:rPr>
                <w:b/>
                <w:bCs/>
                <w:color w:val="1F2A2E"/>
                <w:sz w:val="19"/>
                <w:szCs w:val="19"/>
              </w:rPr>
              <w:t>Phase 0 — Baseline &amp; Readiness</w:t>
            </w:r>
          </w:p>
        </w:tc>
        <w:tc>
          <w:tcPr>
            <w:tcW w:w="2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FA3A02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1.5L – ₹2.5L</w:t>
            </w:r>
          </w:p>
        </w:tc>
      </w:tr>
      <w:tr w:rsidR="005578AA" w14:paraId="14196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A6320F" w14:textId="77777777" w:rsidR="005578AA" w:rsidRDefault="005404B5">
            <w:r>
              <w:rPr>
                <w:b/>
                <w:bCs/>
                <w:color w:val="1F2A2E"/>
                <w:sz w:val="19"/>
                <w:szCs w:val="19"/>
              </w:rPr>
              <w:t>Phase 1 — Foundation</w:t>
            </w:r>
          </w:p>
        </w:tc>
        <w:tc>
          <w:tcPr>
            <w:tcW w:w="28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B2B50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6L – ₹9L</w:t>
            </w:r>
          </w:p>
        </w:tc>
      </w:tr>
      <w:tr w:rsidR="005578AA" w14:paraId="659BC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DBA6F7" w14:textId="77777777" w:rsidR="005578AA" w:rsidRDefault="005404B5">
            <w:r>
              <w:rPr>
                <w:b/>
                <w:bCs/>
                <w:color w:val="1F2A2E"/>
                <w:sz w:val="19"/>
                <w:szCs w:val="19"/>
              </w:rPr>
              <w:t>Phase 2 — Leverage Agents</w:t>
            </w:r>
          </w:p>
        </w:tc>
        <w:tc>
          <w:tcPr>
            <w:tcW w:w="2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A11B29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5L – ₹8L</w:t>
            </w:r>
          </w:p>
        </w:tc>
      </w:tr>
      <w:tr w:rsidR="005578AA" w14:paraId="7A186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3BF674" w14:textId="77777777" w:rsidR="005578AA" w:rsidRDefault="005404B5">
            <w:r>
              <w:rPr>
                <w:b/>
                <w:bCs/>
                <w:color w:val="1F2A2E"/>
                <w:sz w:val="19"/>
                <w:szCs w:val="19"/>
              </w:rPr>
              <w:t>Phase 3 — Compliance Layer</w:t>
            </w:r>
          </w:p>
        </w:tc>
        <w:tc>
          <w:tcPr>
            <w:tcW w:w="28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6A890D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7L – ₹10L</w:t>
            </w:r>
          </w:p>
        </w:tc>
      </w:tr>
      <w:tr w:rsidR="005578AA" w14:paraId="4E34C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5146A9" w14:textId="77777777" w:rsidR="005578AA" w:rsidRDefault="005404B5">
            <w:r>
              <w:rPr>
                <w:b/>
                <w:bCs/>
                <w:color w:val="1F2A2E"/>
                <w:sz w:val="19"/>
                <w:szCs w:val="19"/>
              </w:rPr>
              <w:t>Phase 4 — Remaining Agents</w:t>
            </w:r>
          </w:p>
        </w:tc>
        <w:tc>
          <w:tcPr>
            <w:tcW w:w="2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1087C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4L – ₹6L</w:t>
            </w:r>
          </w:p>
        </w:tc>
      </w:tr>
    </w:tbl>
    <w:p w14:paraId="58BA2F69" w14:textId="77777777" w:rsidR="005578AA" w:rsidRDefault="005404B5">
      <w:pPr>
        <w:spacing w:before="220" w:after="220"/>
      </w:pPr>
      <w:r>
        <w:rPr>
          <w:b/>
          <w:bCs/>
          <w:color w:val="0F6B5C"/>
          <w:sz w:val="24"/>
          <w:szCs w:val="24"/>
        </w:rPr>
        <w:t>Total: ₹24L – ₹35.5L  (~$29K–$43K)</w:t>
      </w:r>
    </w:p>
    <w:p w14:paraId="79B9AF0D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Payment schedule</w:t>
      </w:r>
    </w:p>
    <w:p w14:paraId="637D72BE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20% of total contract value on signing, to mobilize Phase 0</w:t>
      </w:r>
    </w:p>
    <w:p w14:paraId="5EA7C7F3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Remainder invoiced at each phase's exit gate, at that phase's price from the table above</w:t>
      </w:r>
    </w:p>
    <w:p w14:paraId="65AEA8D1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No phase beyond Phase 0 is committed or invoiced until the prior phase's exit criteria are signed off</w:t>
      </w:r>
    </w:p>
    <w:p w14:paraId="788F3735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Not included in this investment</w:t>
      </w:r>
    </w:p>
    <w:p w14:paraId="2945F1E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Recurring hosting, database, backup, OCR, and AI/LLM usage costs — detailed separately in Section 9</w:t>
      </w:r>
    </w:p>
    <w:p w14:paraId="7B5EECBB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>/Tally license fees — these remain the client's existing subscription</w:t>
      </w:r>
    </w:p>
    <w:p w14:paraId="03ACC7C2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Ongoing support or maintenance after handover — quoted separately if required</w:t>
      </w:r>
    </w:p>
    <w:p w14:paraId="167820B1" w14:textId="77777777" w:rsidR="005578AA" w:rsidRDefault="005404B5">
      <w:r>
        <w:br w:type="page"/>
      </w:r>
    </w:p>
    <w:p w14:paraId="198AD728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9. Recurring Operating Costs (Post-Launch)</w:t>
      </w:r>
    </w:p>
    <w:p w14:paraId="7E6CDD7D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investment in Section 8 is a one-time build cost. Running CAOS in production carries its own monthly cost — hosting, database, backups, document processing, and AI/LLM usage — which is separate from and continues after the development engagement. The figures below are built from verified provider pricing (Sept 2026), sized at target scale (~500 clients, no support/maintenance retainer included, communications email-only), and reflect the LLM cost optimizations adopted in ADR 0012.</w:t>
      </w:r>
    </w:p>
    <w:p w14:paraId="3179FAF3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Fixed infrastructure (verified, volume-independent)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550"/>
        <w:gridCol w:w="1950"/>
      </w:tblGrid>
      <w:tr w:rsidR="005578AA" w14:paraId="5FE0B7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9CFD64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5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B1B940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19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1C9083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(₹)</w:t>
            </w:r>
          </w:p>
        </w:tc>
      </w:tr>
      <w:tr w:rsidR="005578AA" w14:paraId="56715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E3CF6C" w14:textId="77777777" w:rsidR="005578AA" w:rsidRDefault="005404B5">
            <w:r>
              <w:rPr>
                <w:color w:val="1F2A2E"/>
                <w:sz w:val="19"/>
                <w:szCs w:val="19"/>
              </w:rPr>
              <w:t>Database &amp; backend (</w:t>
            </w:r>
            <w:proofErr w:type="spellStart"/>
            <w:r>
              <w:rPr>
                <w:color w:val="1F2A2E"/>
                <w:sz w:val="19"/>
                <w:szCs w:val="19"/>
              </w:rPr>
              <w:t>Supabase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Pro + Medium compute)</w:t>
            </w:r>
          </w:p>
        </w:tc>
        <w:tc>
          <w:tcPr>
            <w:tcW w:w="35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9937A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$25 Pro + $60 compute + overage</w:t>
            </w:r>
          </w:p>
        </w:tc>
        <w:tc>
          <w:tcPr>
            <w:tcW w:w="1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F8DE35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9,025 – ₹9,975</w:t>
            </w:r>
          </w:p>
        </w:tc>
      </w:tr>
      <w:tr w:rsidR="005578AA" w14:paraId="57B00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2CC402" w14:textId="77777777" w:rsidR="005578AA" w:rsidRDefault="005404B5">
            <w:r>
              <w:rPr>
                <w:color w:val="1F2A2E"/>
                <w:sz w:val="19"/>
                <w:szCs w:val="19"/>
              </w:rPr>
              <w:t>App/agent hosting (Railway Pro)</w:t>
            </w:r>
          </w:p>
        </w:tc>
        <w:tc>
          <w:tcPr>
            <w:tcW w:w="35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685C7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$20/seat + usage</w:t>
            </w:r>
          </w:p>
        </w:tc>
        <w:tc>
          <w:tcPr>
            <w:tcW w:w="19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AF1B1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4,750 – ₹8,550</w:t>
            </w:r>
          </w:p>
        </w:tc>
      </w:tr>
      <w:tr w:rsidR="005578AA" w14:paraId="66F57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EF1D81" w14:textId="77777777" w:rsidR="005578AA" w:rsidRDefault="005404B5">
            <w:r>
              <w:rPr>
                <w:color w:val="1F2A2E"/>
                <w:sz w:val="19"/>
                <w:szCs w:val="19"/>
              </w:rPr>
              <w:t>Email (AWS SES)</w:t>
            </w:r>
          </w:p>
        </w:tc>
        <w:tc>
          <w:tcPr>
            <w:tcW w:w="35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4B9E4D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$0.10/1,000 emails, ~10–15K/</w:t>
            </w:r>
            <w:proofErr w:type="spellStart"/>
            <w:r>
              <w:rPr>
                <w:color w:val="1F2A2E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19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04D1E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190 – ₹475</w:t>
            </w:r>
          </w:p>
        </w:tc>
      </w:tr>
      <w:tr w:rsidR="005578AA" w14:paraId="6F83C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7A3D60" w14:textId="77777777" w:rsidR="005578AA" w:rsidRDefault="005404B5">
            <w:r>
              <w:rPr>
                <w:color w:val="1F2A2E"/>
                <w:sz w:val="19"/>
                <w:szCs w:val="19"/>
              </w:rPr>
              <w:t>Daily backups</w:t>
            </w:r>
          </w:p>
        </w:tc>
        <w:tc>
          <w:tcPr>
            <w:tcW w:w="35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91828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Included free (</w:t>
            </w:r>
            <w:proofErr w:type="spellStart"/>
            <w:r>
              <w:rPr>
                <w:color w:val="1F2A2E"/>
                <w:sz w:val="19"/>
                <w:szCs w:val="19"/>
              </w:rPr>
              <w:t>Supabase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Pro)</w:t>
            </w:r>
          </w:p>
        </w:tc>
        <w:tc>
          <w:tcPr>
            <w:tcW w:w="19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4A9D5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0</w:t>
            </w:r>
          </w:p>
        </w:tc>
      </w:tr>
    </w:tbl>
    <w:p w14:paraId="2D17AE1D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Usage-driven (</w:t>
      </w:r>
      <w:proofErr w:type="spellStart"/>
      <w:r>
        <w:rPr>
          <w:b/>
          <w:bCs/>
          <w:color w:val="1F2A2E"/>
          <w:sz w:val="22"/>
          <w:szCs w:val="22"/>
        </w:rPr>
        <w:t>modeled</w:t>
      </w:r>
      <w:proofErr w:type="spellEnd"/>
      <w:r>
        <w:rPr>
          <w:b/>
          <w:bCs/>
          <w:color w:val="1F2A2E"/>
          <w:sz w:val="22"/>
          <w:szCs w:val="22"/>
        </w:rPr>
        <w:t xml:space="preserve"> from 75 documents/client/month)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800"/>
        <w:gridCol w:w="2300"/>
      </w:tblGrid>
      <w:tr w:rsidR="005578AA" w14:paraId="06BA5C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F490F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8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22729B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23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9379F3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(₹)</w:t>
            </w:r>
          </w:p>
        </w:tc>
      </w:tr>
      <w:tr w:rsidR="005578AA" w14:paraId="71184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70B905" w14:textId="77777777" w:rsidR="005578AA" w:rsidRDefault="005404B5">
            <w:r>
              <w:rPr>
                <w:color w:val="1F2A2E"/>
                <w:sz w:val="19"/>
                <w:szCs w:val="19"/>
              </w:rPr>
              <w:t>OCR / document extraction</w:t>
            </w:r>
          </w:p>
        </w:tc>
        <w:tc>
          <w:tcPr>
            <w:tcW w:w="3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76C524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37,500 docs/</w:t>
            </w:r>
            <w:proofErr w:type="spellStart"/>
            <w:r>
              <w:rPr>
                <w:color w:val="1F2A2E"/>
                <w:sz w:val="19"/>
                <w:szCs w:val="19"/>
              </w:rPr>
              <w:t>mo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— 60% invoices/receipts, 40% bank statement pages (AWS </w:t>
            </w:r>
            <w:proofErr w:type="spellStart"/>
            <w:r>
              <w:rPr>
                <w:color w:val="1F2A2E"/>
                <w:sz w:val="19"/>
                <w:szCs w:val="19"/>
              </w:rPr>
              <w:t>Textract</w:t>
            </w:r>
            <w:proofErr w:type="spellEnd"/>
            <w:r>
              <w:rPr>
                <w:color w:val="1F2A2E"/>
                <w:sz w:val="19"/>
                <w:szCs w:val="19"/>
              </w:rPr>
              <w:t>) — unaffected by ADR 0012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75C520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33,250 – ₹57,000</w:t>
            </w:r>
          </w:p>
        </w:tc>
      </w:tr>
      <w:tr w:rsidR="005578AA" w14:paraId="3098C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8EBB21" w14:textId="77777777" w:rsidR="005578AA" w:rsidRDefault="005404B5">
            <w:r>
              <w:rPr>
                <w:color w:val="1F2A2E"/>
                <w:sz w:val="19"/>
                <w:szCs w:val="19"/>
              </w:rPr>
              <w:t>AI/LLM — ramp-up (client's first 1–2 months)</w:t>
            </w:r>
          </w:p>
        </w:tc>
        <w:tc>
          <w:tcPr>
            <w:tcW w:w="38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ADC612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Uniform LLM-per-action before vendor templates build up — the pre-ADR 0012 baseline</w:t>
            </w:r>
          </w:p>
        </w:tc>
        <w:tc>
          <w:tcPr>
            <w:tcW w:w="23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94554B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28,500 – ₹47,500</w:t>
            </w:r>
          </w:p>
        </w:tc>
      </w:tr>
      <w:tr w:rsidR="005578AA" w14:paraId="0CE5F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A8027" w14:textId="77777777" w:rsidR="005578AA" w:rsidRDefault="005404B5">
            <w:r>
              <w:rPr>
                <w:color w:val="1F2A2E"/>
                <w:sz w:val="19"/>
                <w:szCs w:val="19"/>
              </w:rPr>
              <w:t>AI/LLM — steady state (month 3+)</w:t>
            </w:r>
          </w:p>
        </w:tc>
        <w:tc>
          <w:tcPr>
            <w:tcW w:w="3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35320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Post ADR 0012: 4 of 9 agents off LLM entirely, Bookkeeping template-cached, prompt caching applied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8CF4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₹</w:t>
            </w:r>
            <w:r>
              <w:rPr>
                <w:color w:val="1F2A2E"/>
                <w:sz w:val="19"/>
                <w:szCs w:val="19"/>
              </w:rPr>
              <w:t>4,000 – ₹17,000</w:t>
            </w:r>
          </w:p>
        </w:tc>
      </w:tr>
    </w:tbl>
    <w:p w14:paraId="6E4DA926" w14:textId="77777777" w:rsidR="005578AA" w:rsidRDefault="005578AA">
      <w:pPr>
        <w:spacing w:after="80"/>
      </w:pPr>
    </w:p>
    <w:p w14:paraId="345F19A1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LLM cost optimization (ADR 0012)</w:t>
      </w:r>
    </w:p>
    <w:p w14:paraId="3F6714DF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original LLM estimate assumed every agent action on every document triggers a call — which scales linearly with client count. ADR 0012 removes that assumption for the agents that don't need it, and caches the ones that do: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5578AA" w14:paraId="1D7557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98919D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63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1735BD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LLM treatment under ADR 0012</w:t>
            </w:r>
          </w:p>
        </w:tc>
      </w:tr>
      <w:tr w:rsidR="005578AA" w14:paraId="1747A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A3BF74" w14:textId="77777777" w:rsidR="005578AA" w:rsidRDefault="005404B5">
            <w:r>
              <w:rPr>
                <w:color w:val="1F2A2E"/>
                <w:sz w:val="19"/>
                <w:szCs w:val="19"/>
              </w:rPr>
              <w:t>Reconciliation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F496BC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Off LLM entirely — deterministic GSTIN/invoice/amount matching</w:t>
            </w:r>
          </w:p>
        </w:tc>
      </w:tr>
      <w:tr w:rsidR="005578AA" w14:paraId="08C48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82EFA" w14:textId="77777777" w:rsidR="005578AA" w:rsidRDefault="005404B5">
            <w:r>
              <w:rPr>
                <w:color w:val="1F2A2E"/>
                <w:sz w:val="19"/>
                <w:szCs w:val="19"/>
              </w:rPr>
              <w:t>Validation / Compliance</w:t>
            </w:r>
          </w:p>
        </w:tc>
        <w:tc>
          <w:tcPr>
            <w:tcW w:w="63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3EF833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Off LLM entirely — arithmetic comparisons and table lookups</w:t>
            </w:r>
          </w:p>
        </w:tc>
      </w:tr>
      <w:tr w:rsidR="005578AA" w14:paraId="27D45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3CB7AA" w14:textId="77777777" w:rsidR="005578AA" w:rsidRDefault="005404B5">
            <w:r>
              <w:rPr>
                <w:color w:val="1F2A2E"/>
                <w:sz w:val="19"/>
                <w:szCs w:val="19"/>
              </w:rPr>
              <w:t>TDS/TCS matching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5EEDC4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Off LLM entirely — deterministic matching, same logic as Reconciliation</w:t>
            </w:r>
          </w:p>
        </w:tc>
      </w:tr>
      <w:tr w:rsidR="005578AA" w14:paraId="606B3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61AA78" w14:textId="77777777" w:rsidR="005578AA" w:rsidRDefault="005404B5">
            <w:r>
              <w:rPr>
                <w:color w:val="1F2A2E"/>
                <w:sz w:val="19"/>
                <w:szCs w:val="19"/>
              </w:rPr>
              <w:t>Bank Reconciliation</w:t>
            </w:r>
          </w:p>
        </w:tc>
        <w:tc>
          <w:tcPr>
            <w:tcW w:w="63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D56AB3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Off LLM entirely — deterministic matching by date/amount/reference</w:t>
            </w:r>
          </w:p>
        </w:tc>
      </w:tr>
      <w:tr w:rsidR="005578AA" w14:paraId="48EC5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F1754E" w14:textId="77777777" w:rsidR="005578AA" w:rsidRDefault="005404B5">
            <w:r>
              <w:rPr>
                <w:color w:val="1F2A2E"/>
                <w:sz w:val="19"/>
                <w:szCs w:val="19"/>
              </w:rPr>
              <w:t>Bookkeeping / Voucher Entry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2DDFB8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Reduced — vendor template caching; only new vendors or layout changes need a fresh LLM pass</w:t>
            </w:r>
          </w:p>
        </w:tc>
      </w:tr>
      <w:tr w:rsidR="005578AA" w14:paraId="02229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46A39F" w14:textId="77777777" w:rsidR="005578AA" w:rsidRDefault="005404B5">
            <w:r>
              <w:rPr>
                <w:color w:val="1F2A2E"/>
                <w:sz w:val="19"/>
                <w:szCs w:val="19"/>
              </w:rPr>
              <w:t>Document Intake</w:t>
            </w:r>
          </w:p>
        </w:tc>
        <w:tc>
          <w:tcPr>
            <w:tcW w:w="63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FFE5D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Reduced — known senders route via table lookup; LLM only classifies new senders</w:t>
            </w:r>
          </w:p>
        </w:tc>
      </w:tr>
      <w:tr w:rsidR="005578AA" w14:paraId="6D264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17C3EF" w14:textId="77777777" w:rsidR="005578AA" w:rsidRDefault="005404B5">
            <w:r>
              <w:rPr>
                <w:color w:val="1F2A2E"/>
                <w:sz w:val="19"/>
                <w:szCs w:val="19"/>
              </w:rPr>
              <w:t>Client Communication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C4560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Unchanged — genuine judgment/drafting, but model-routed (Sonnet only on an explicit confidence flag)</w:t>
            </w:r>
          </w:p>
        </w:tc>
      </w:tr>
      <w:tr w:rsidR="005578AA" w14:paraId="2F262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0C6B46" w14:textId="77777777" w:rsidR="005578AA" w:rsidRDefault="005404B5">
            <w:r>
              <w:rPr>
                <w:color w:val="1F2A2E"/>
                <w:sz w:val="19"/>
                <w:szCs w:val="19"/>
              </w:rPr>
              <w:t>Working Paper</w:t>
            </w:r>
          </w:p>
        </w:tc>
        <w:tc>
          <w:tcPr>
            <w:tcW w:w="63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7C49C1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Reduced — mostly </w:t>
            </w:r>
            <w:proofErr w:type="spellStart"/>
            <w:r>
              <w:rPr>
                <w:color w:val="1F2A2E"/>
                <w:sz w:val="19"/>
                <w:szCs w:val="19"/>
              </w:rPr>
              <w:t>templated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assembly</w:t>
            </w:r>
          </w:p>
        </w:tc>
      </w:tr>
      <w:tr w:rsidR="005578AA" w14:paraId="65596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6D857E" w14:textId="77777777" w:rsidR="005578AA" w:rsidRDefault="005404B5">
            <w:r>
              <w:rPr>
                <w:color w:val="1F2A2E"/>
                <w:sz w:val="19"/>
                <w:szCs w:val="19"/>
              </w:rPr>
              <w:t>Practice Management</w:t>
            </w:r>
          </w:p>
        </w:tc>
        <w:tc>
          <w:tcPr>
            <w:tcW w:w="63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A7118F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 xml:space="preserve">Off LLM entirely — reporting and </w:t>
            </w:r>
            <w:proofErr w:type="spellStart"/>
            <w:r>
              <w:rPr>
                <w:color w:val="1F2A2E"/>
                <w:sz w:val="19"/>
                <w:szCs w:val="19"/>
              </w:rPr>
              <w:t>dashboarding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only</w:t>
            </w:r>
          </w:p>
        </w:tc>
      </w:tr>
    </w:tbl>
    <w:p w14:paraId="3297A9EE" w14:textId="77777777" w:rsidR="005578AA" w:rsidRDefault="005578AA">
      <w:pPr>
        <w:spacing w:after="100"/>
      </w:pPr>
    </w:p>
    <w:p w14:paraId="7F5ED00C" w14:textId="77777777" w:rsidR="005578AA" w:rsidRDefault="005404B5">
      <w:pPr>
        <w:spacing w:after="60"/>
      </w:pPr>
      <w:r>
        <w:rPr>
          <w:b/>
          <w:bCs/>
          <w:color w:val="1F2A2E"/>
          <w:sz w:val="21"/>
          <w:szCs w:val="21"/>
        </w:rPr>
        <w:t>Total (ramp-up, months 1–2 per client): ₹76,000 – ₹1,23,500/month  (~$800–$1,300)  —  ₹9.1L – ₹14.8L/year</w:t>
      </w:r>
    </w:p>
    <w:p w14:paraId="73604C39" w14:textId="77777777" w:rsidR="005578AA" w:rsidRDefault="005404B5">
      <w:pPr>
        <w:spacing w:before="60" w:after="200"/>
      </w:pPr>
      <w:r>
        <w:rPr>
          <w:b/>
          <w:bCs/>
          <w:color w:val="0F6B5C"/>
          <w:sz w:val="24"/>
          <w:szCs w:val="24"/>
        </w:rPr>
        <w:t>Total (steady state, month 3+): ₹51,500 – ₹92,500/month  (~$540–$975)  —  ₹6.2L – ₹11.1L/year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578AA" w14:paraId="095C87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F1D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0592E40" w14:textId="77777777" w:rsidR="005578AA" w:rsidRDefault="005404B5"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What's verified vs. </w:t>
            </w:r>
            <w:proofErr w:type="spellStart"/>
            <w:r>
              <w:rPr>
                <w:b/>
                <w:bCs/>
                <w:color w:val="B8860B"/>
                <w:sz w:val="21"/>
                <w:szCs w:val="21"/>
              </w:rPr>
              <w:t>modeled</w:t>
            </w:r>
            <w:proofErr w:type="spellEnd"/>
          </w:p>
          <w:p w14:paraId="08503DB9" w14:textId="77777777" w:rsidR="005578AA" w:rsidRDefault="005404B5">
            <w:pPr>
              <w:spacing w:line="280" w:lineRule="auto"/>
            </w:pPr>
            <w:r>
              <w:rPr>
                <w:color w:val="1F2A2E"/>
                <w:sz w:val="21"/>
                <w:szCs w:val="21"/>
              </w:rPr>
              <w:t>Hosting, database, backups, email, and OCR are verified vendor rates at a tight range regardless of usage. The steady-state LLM range reflects ADR 0012's mechanisms (deterministic agents, template caching, prompt caching) but is a directional re-allocation, not a vendor-metered number — ADR 0012 itself calls this a decision record, not an updated cost model. Actual call volume, the vendor-repeat rate that drives Bookkeeping's cache hit rate, and the deterministic-vs-LLM split all need to be verified in Phas</w:t>
            </w:r>
            <w:r>
              <w:rPr>
                <w:color w:val="1F2A2E"/>
                <w:sz w:val="21"/>
                <w:szCs w:val="21"/>
              </w:rPr>
              <w:t>e 0/1 before this range is locked in.</w:t>
            </w:r>
          </w:p>
        </w:tc>
      </w:tr>
    </w:tbl>
    <w:p w14:paraId="3DD923EA" w14:textId="77777777" w:rsidR="005578AA" w:rsidRDefault="005404B5">
      <w:pPr>
        <w:pStyle w:val="Heading2"/>
        <w:spacing w:before="260" w:after="100"/>
      </w:pPr>
      <w:r>
        <w:rPr>
          <w:b/>
          <w:bCs/>
          <w:color w:val="1F2A2E"/>
          <w:sz w:val="22"/>
          <w:szCs w:val="22"/>
        </w:rPr>
        <w:t>Recurring cost assumptions</w:t>
      </w:r>
    </w:p>
    <w:p w14:paraId="4E439449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500 active clients, averaging 75 source documents/client/month (midpoint of the 50–100 range confirmed for this estimate)</w:t>
      </w:r>
    </w:p>
    <w:p w14:paraId="119C8AEA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Document mix: 60% invoices/receipts, 40% bank statement pages — different OCR API tiers apply to each</w:t>
      </w:r>
    </w:p>
    <w:p w14:paraId="3D89F70B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Daily backups (free, included in </w:t>
      </w:r>
      <w:proofErr w:type="spellStart"/>
      <w:r>
        <w:rPr>
          <w:color w:val="1F2A2E"/>
          <w:sz w:val="21"/>
          <w:szCs w:val="21"/>
        </w:rPr>
        <w:t>Supabase</w:t>
      </w:r>
      <w:proofErr w:type="spellEnd"/>
      <w:r>
        <w:rPr>
          <w:color w:val="1F2A2E"/>
          <w:sz w:val="21"/>
          <w:szCs w:val="21"/>
        </w:rPr>
        <w:t xml:space="preserve"> Pro) are sufficient recovery; no continuous point-in-time-recovery add-on</w:t>
      </w:r>
    </w:p>
    <w:p w14:paraId="70D73823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Communications are email-only via AWS SES; no WhatsApp/SMS costs</w:t>
      </w:r>
    </w:p>
    <w:p w14:paraId="0B917A13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LLM cost reflects ADR 0012: 4 of 9 agents run deterministically with no LLM call; Bookkeeping uses vendor template caching after each vendor's first occurrence; remaining calls use prompt caching and Haiku-by-default/Sonnet-on-flag routing</w:t>
      </w:r>
    </w:p>
    <w:p w14:paraId="6704D8D5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Ramp-up period (client's first 1–2 months) runs closer to the pre-optimization baseline, since vendor templates haven't built up yet — steady state is reached as the client base matures</w:t>
      </w:r>
    </w:p>
    <w:p w14:paraId="3FFF4A7B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No support/maintenance retainer is included — this is infrastructure and third-party usage cost only</w:t>
      </w:r>
    </w:p>
    <w:p w14:paraId="3FD92820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Excludes Tally/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 license fees — these remain the client's existing subscription</w:t>
      </w:r>
    </w:p>
    <w:p w14:paraId="08E52C7E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USD–INR conversion at ~₹95/USD (Sept 2026); this line moves with FX and should be re-checked periodically</w:t>
      </w:r>
    </w:p>
    <w:p w14:paraId="5AE8A195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Costs assume steady-state production at target scale; pilot-scale (~100 clients) costs would be roughly 20–25% of this total, dominated by the fixed infrastructure floor rather than usage</w:t>
      </w:r>
    </w:p>
    <w:p w14:paraId="298BB9BB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10. Assumptions &amp; Dependencies</w:t>
      </w:r>
    </w:p>
    <w:p w14:paraId="70610449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 xml:space="preserve">Tally Cloud access and </w:t>
      </w:r>
      <w:proofErr w:type="spellStart"/>
      <w:r>
        <w:rPr>
          <w:color w:val="1F2A2E"/>
          <w:sz w:val="21"/>
          <w:szCs w:val="21"/>
        </w:rPr>
        <w:t>Zoho</w:t>
      </w:r>
      <w:proofErr w:type="spellEnd"/>
      <w:r>
        <w:rPr>
          <w:color w:val="1F2A2E"/>
          <w:sz w:val="21"/>
          <w:szCs w:val="21"/>
        </w:rPr>
        <w:t xml:space="preserve"> Books OAuth/sandbox credentials are made available before Phase 1 begins</w:t>
      </w:r>
    </w:p>
    <w:p w14:paraId="54EE5E0D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A pilot client (or sanitized representative data) is available for Phase 2–4 testing against real bookkeeping and filing scenarios</w:t>
      </w:r>
    </w:p>
    <w:p w14:paraId="579B0A63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UAT feedback at each phase gate is turned around within 3 business days to hold the Section 6 timeline</w:t>
      </w:r>
    </w:p>
    <w:p w14:paraId="71EA66DB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The four Tally-only assumption gaps flagged in the current documentation (API Specification, Coding Guidelines, Security Standard, Testing Strategy) are closed in Phase 0, ahead of Phase 1 build start</w:t>
      </w:r>
    </w:p>
    <w:p w14:paraId="4878D92B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11. Out of Scope</w:t>
      </w:r>
    </w:p>
    <w:p w14:paraId="5F3018F7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 following are deliberately excluded from this proposal's price and timeline, consistent with the current roadmap:</w:t>
      </w:r>
    </w:p>
    <w:p w14:paraId="533AAD79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Notice/Scrutiny Tracker Agent</w:t>
      </w:r>
    </w:p>
    <w:p w14:paraId="0D1DCA76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Financial Statement Analysis / Ratio Agent, ROC/Companies Act Compliance Tracker, Fixed Asset Register &amp; Depreciation Agent, Audit Sampling &amp; Risk-Scoring Agent, Knowledge Base/Query Assistant</w:t>
      </w:r>
    </w:p>
    <w:p w14:paraId="4AECB9A1" w14:textId="77777777" w:rsidR="005578AA" w:rsidRDefault="005404B5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F2A2E"/>
          <w:sz w:val="21"/>
          <w:szCs w:val="21"/>
        </w:rPr>
        <w:t>Any AI-assisted audit tooling beyond the agents listed in Section 3</w:t>
      </w:r>
    </w:p>
    <w:p w14:paraId="769A2822" w14:textId="77777777" w:rsidR="005578AA" w:rsidRDefault="005404B5">
      <w:pPr>
        <w:spacing w:after="160" w:line="300" w:lineRule="auto"/>
      </w:pPr>
      <w:r>
        <w:rPr>
          <w:color w:val="1F2A2E"/>
          <w:sz w:val="21"/>
          <w:szCs w:val="21"/>
        </w:rPr>
        <w:t>These can be scoped and priced as a Phase 5 addendum once the core platform is live and adoption data is available to prioritize them.</w:t>
      </w:r>
    </w:p>
    <w:p w14:paraId="1302879B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12. Risks &amp; Mitigations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100"/>
      </w:tblGrid>
      <w:tr w:rsidR="005578AA" w14:paraId="756EFA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190452" w14:textId="77777777" w:rsidR="005578AA" w:rsidRDefault="005404B5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610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C7B4C6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5578AA" w14:paraId="21502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9A5EC1" w14:textId="77777777" w:rsidR="005578AA" w:rsidRDefault="005404B5">
            <w:r>
              <w:rPr>
                <w:color w:val="1F2A2E"/>
                <w:sz w:val="19"/>
                <w:szCs w:val="19"/>
              </w:rPr>
              <w:t>Client-side delays (credential access, UAT turnaround) slip the Section 6 timeline</w:t>
            </w:r>
          </w:p>
        </w:tc>
        <w:tc>
          <w:tcPr>
            <w:tcW w:w="6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31D89E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Phase gates are explicit in the contract; slippage on client-side dependencies extends the timeline without penalty to either party</w:t>
            </w:r>
          </w:p>
        </w:tc>
      </w:tr>
      <w:tr w:rsidR="005578AA" w14:paraId="4F6C0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4F3BAA" w14:textId="77777777" w:rsidR="005578AA" w:rsidRDefault="005404B5">
            <w:r>
              <w:rPr>
                <w:color w:val="1F2A2E"/>
                <w:sz w:val="19"/>
                <w:szCs w:val="19"/>
              </w:rPr>
              <w:t>Compliance-layer defects reach production</w:t>
            </w:r>
          </w:p>
        </w:tc>
        <w:tc>
          <w:tcPr>
            <w:tcW w:w="610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B0A30D" w14:textId="77777777" w:rsidR="005578AA" w:rsidRDefault="005404B5">
            <w:pPr>
              <w:jc w:val="center"/>
            </w:pPr>
            <w:r>
              <w:rPr>
                <w:color w:val="1F2A2E"/>
                <w:sz w:val="19"/>
                <w:szCs w:val="19"/>
              </w:rPr>
              <w:t>Phase 3 carries dedicated QA/compliance review capacity and a parallel-run test against a completed manual filing cycle before go-live</w:t>
            </w:r>
          </w:p>
        </w:tc>
      </w:tr>
      <w:tr w:rsidR="005578AA" w14:paraId="7A52F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A3281B" w14:textId="77777777" w:rsidR="005578AA" w:rsidRDefault="005404B5">
            <w:proofErr w:type="spellStart"/>
            <w:r>
              <w:rPr>
                <w:color w:val="1F2A2E"/>
                <w:sz w:val="19"/>
                <w:szCs w:val="19"/>
              </w:rPr>
              <w:t>Zoho</w:t>
            </w:r>
            <w:proofErr w:type="spellEnd"/>
            <w:r>
              <w:rPr>
                <w:color w:val="1F2A2E"/>
                <w:sz w:val="19"/>
                <w:szCs w:val="19"/>
              </w:rPr>
              <w:t>/Tally API changes during the build</w:t>
            </w:r>
          </w:p>
        </w:tc>
        <w:tc>
          <w:tcPr>
            <w:tcW w:w="61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468B18" w14:textId="77777777" w:rsidR="005578AA" w:rsidRDefault="005404B5">
            <w:pPr>
              <w:jc w:val="center"/>
            </w:pPr>
            <w:proofErr w:type="spellStart"/>
            <w:r>
              <w:rPr>
                <w:color w:val="1F2A2E"/>
                <w:sz w:val="19"/>
                <w:szCs w:val="19"/>
              </w:rPr>
              <w:t>BooksConnector's</w:t>
            </w:r>
            <w:proofErr w:type="spellEnd"/>
            <w:r>
              <w:rPr>
                <w:color w:val="1F2A2E"/>
                <w:sz w:val="19"/>
                <w:szCs w:val="19"/>
              </w:rPr>
              <w:t xml:space="preserve"> adapter pattern isolates backend-specific changes to a single adapter, not the core platform</w:t>
            </w:r>
          </w:p>
        </w:tc>
      </w:tr>
    </w:tbl>
    <w:p w14:paraId="5C06C13D" w14:textId="77777777" w:rsidR="005578AA" w:rsidRDefault="005404B5">
      <w:pPr>
        <w:pStyle w:val="Heading1"/>
        <w:pBdr>
          <w:bottom w:val="single" w:sz="8" w:space="4" w:color="0F6B5C"/>
        </w:pBdr>
        <w:spacing w:before="380" w:after="160"/>
      </w:pPr>
      <w:r>
        <w:rPr>
          <w:b/>
          <w:bCs/>
          <w:color w:val="0F6B5C"/>
          <w:sz w:val="28"/>
          <w:szCs w:val="28"/>
        </w:rPr>
        <w:t>13. Next Steps &amp; Acceptance</w:t>
      </w:r>
    </w:p>
    <w:p w14:paraId="0A302F88" w14:textId="77777777"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1.  </w:t>
      </w:r>
      <w:r>
        <w:rPr>
          <w:color w:val="1F2A2E"/>
          <w:sz w:val="21"/>
          <w:szCs w:val="21"/>
        </w:rPr>
        <w:t>Review this proposal against the agreed Feature Documentation and PRD scope</w:t>
      </w:r>
    </w:p>
    <w:p w14:paraId="759C3D3C" w14:textId="77777777"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2.  </w:t>
      </w:r>
      <w:r>
        <w:rPr>
          <w:color w:val="1F2A2E"/>
          <w:sz w:val="21"/>
          <w:szCs w:val="21"/>
        </w:rPr>
        <w:t>Confirm the Phase 0 start date and named points of contact for credentials and UAT</w:t>
      </w:r>
    </w:p>
    <w:p w14:paraId="05E615EB" w14:textId="77777777" w:rsidR="005578AA" w:rsidRDefault="005404B5">
      <w:pPr>
        <w:spacing w:after="90" w:line="280" w:lineRule="auto"/>
      </w:pPr>
      <w:r>
        <w:rPr>
          <w:b/>
          <w:bCs/>
          <w:color w:val="0F6B5C"/>
          <w:sz w:val="21"/>
          <w:szCs w:val="21"/>
        </w:rPr>
        <w:t xml:space="preserve">3.  </w:t>
      </w:r>
      <w:r>
        <w:rPr>
          <w:color w:val="1F2A2E"/>
          <w:sz w:val="21"/>
          <w:szCs w:val="21"/>
        </w:rPr>
        <w:t>Sign off below to authorize Phase 0 mobilization</w:t>
      </w:r>
    </w:p>
    <w:p w14:paraId="66E39A3B" w14:textId="77777777" w:rsidR="005578AA" w:rsidRDefault="005578A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3850"/>
        <w:gridCol w:w="3850"/>
      </w:tblGrid>
      <w:tr w:rsidR="005578AA" w14:paraId="659F50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A0BCAC" w14:textId="77777777" w:rsidR="005578AA" w:rsidRDefault="005578AA"/>
        </w:tc>
        <w:tc>
          <w:tcPr>
            <w:tcW w:w="38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72FA42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Venture Assist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Srivatsan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&amp; Associates</w:t>
            </w:r>
          </w:p>
        </w:tc>
        <w:tc>
          <w:tcPr>
            <w:tcW w:w="3850" w:type="dxa"/>
            <w:shd w:val="clear" w:color="auto" w:fill="0F6B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A5C6" w14:textId="77777777" w:rsidR="005578AA" w:rsidRDefault="005404B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Development Team</w:t>
            </w:r>
          </w:p>
        </w:tc>
      </w:tr>
      <w:tr w:rsidR="005578AA" w14:paraId="4C422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E7F6F0" w14:textId="77777777" w:rsidR="005578AA" w:rsidRDefault="005404B5">
            <w:r>
              <w:rPr>
                <w:color w:val="1F2A2E"/>
                <w:sz w:val="19"/>
                <w:szCs w:val="19"/>
              </w:rPr>
              <w:t>Name</w:t>
            </w:r>
          </w:p>
        </w:tc>
        <w:tc>
          <w:tcPr>
            <w:tcW w:w="3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F91E17" w14:textId="77777777" w:rsidR="005578AA" w:rsidRDefault="005578AA">
            <w:pPr>
              <w:jc w:val="center"/>
            </w:pPr>
          </w:p>
        </w:tc>
        <w:tc>
          <w:tcPr>
            <w:tcW w:w="3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44E70" w14:textId="77777777" w:rsidR="005578AA" w:rsidRDefault="005578AA">
            <w:pPr>
              <w:jc w:val="center"/>
            </w:pPr>
          </w:p>
        </w:tc>
      </w:tr>
      <w:tr w:rsidR="005578AA" w14:paraId="33FBF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2ED0FD" w14:textId="77777777" w:rsidR="005578AA" w:rsidRDefault="005404B5">
            <w:r>
              <w:rPr>
                <w:color w:val="1F2A2E"/>
                <w:sz w:val="19"/>
                <w:szCs w:val="19"/>
              </w:rPr>
              <w:t>Signature</w:t>
            </w:r>
          </w:p>
        </w:tc>
        <w:tc>
          <w:tcPr>
            <w:tcW w:w="38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1442E5" w14:textId="77777777" w:rsidR="005578AA" w:rsidRDefault="005578AA">
            <w:pPr>
              <w:jc w:val="center"/>
            </w:pPr>
          </w:p>
        </w:tc>
        <w:tc>
          <w:tcPr>
            <w:tcW w:w="3850" w:type="dxa"/>
            <w:shd w:val="clear" w:color="auto" w:fill="E4F1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56FB85" w14:textId="77777777" w:rsidR="005578AA" w:rsidRDefault="005578AA">
            <w:pPr>
              <w:jc w:val="center"/>
            </w:pPr>
          </w:p>
        </w:tc>
      </w:tr>
      <w:tr w:rsidR="005578AA" w14:paraId="435E5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2E60BA" w14:textId="77777777" w:rsidR="005578AA" w:rsidRDefault="005404B5">
            <w:r>
              <w:rPr>
                <w:color w:val="1F2A2E"/>
                <w:sz w:val="19"/>
                <w:szCs w:val="19"/>
              </w:rPr>
              <w:t>Date</w:t>
            </w:r>
          </w:p>
        </w:tc>
        <w:tc>
          <w:tcPr>
            <w:tcW w:w="3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41A46D" w14:textId="77777777" w:rsidR="005578AA" w:rsidRDefault="005578AA">
            <w:pPr>
              <w:jc w:val="center"/>
            </w:pPr>
          </w:p>
        </w:tc>
        <w:tc>
          <w:tcPr>
            <w:tcW w:w="3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4DAFCE" w14:textId="77777777" w:rsidR="005578AA" w:rsidRDefault="005578AA">
            <w:pPr>
              <w:jc w:val="center"/>
            </w:pPr>
          </w:p>
        </w:tc>
      </w:tr>
    </w:tbl>
    <w:p w14:paraId="14AC5076" w14:textId="77777777" w:rsidR="005404B5" w:rsidRDefault="005404B5"/>
    <w:sectPr w:rsidR="0000000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BED"/>
    <w:multiLevelType w:val="hybridMultilevel"/>
    <w:tmpl w:val="FFFFFFFF"/>
    <w:lvl w:ilvl="0" w:tplc="1CC876A0">
      <w:start w:val="1"/>
      <w:numFmt w:val="bullet"/>
      <w:lvlText w:val="●"/>
      <w:lvlJc w:val="left"/>
      <w:pPr>
        <w:ind w:left="720" w:hanging="360"/>
      </w:pPr>
    </w:lvl>
    <w:lvl w:ilvl="1" w:tplc="775ED3C2">
      <w:start w:val="1"/>
      <w:numFmt w:val="bullet"/>
      <w:lvlText w:val="○"/>
      <w:lvlJc w:val="left"/>
      <w:pPr>
        <w:ind w:left="1440" w:hanging="360"/>
      </w:pPr>
    </w:lvl>
    <w:lvl w:ilvl="2" w:tplc="3836C6D6">
      <w:start w:val="1"/>
      <w:numFmt w:val="bullet"/>
      <w:lvlText w:val="■"/>
      <w:lvlJc w:val="left"/>
      <w:pPr>
        <w:ind w:left="2160" w:hanging="360"/>
      </w:pPr>
    </w:lvl>
    <w:lvl w:ilvl="3" w:tplc="ABEE6626">
      <w:start w:val="1"/>
      <w:numFmt w:val="bullet"/>
      <w:lvlText w:val="●"/>
      <w:lvlJc w:val="left"/>
      <w:pPr>
        <w:ind w:left="2880" w:hanging="360"/>
      </w:pPr>
    </w:lvl>
    <w:lvl w:ilvl="4" w:tplc="39DE62BA">
      <w:start w:val="1"/>
      <w:numFmt w:val="bullet"/>
      <w:lvlText w:val="○"/>
      <w:lvlJc w:val="left"/>
      <w:pPr>
        <w:ind w:left="3600" w:hanging="360"/>
      </w:pPr>
    </w:lvl>
    <w:lvl w:ilvl="5" w:tplc="EBB89C5C">
      <w:start w:val="1"/>
      <w:numFmt w:val="bullet"/>
      <w:lvlText w:val="■"/>
      <w:lvlJc w:val="left"/>
      <w:pPr>
        <w:ind w:left="4320" w:hanging="360"/>
      </w:pPr>
    </w:lvl>
    <w:lvl w:ilvl="6" w:tplc="1E22891A">
      <w:start w:val="1"/>
      <w:numFmt w:val="bullet"/>
      <w:lvlText w:val="●"/>
      <w:lvlJc w:val="left"/>
      <w:pPr>
        <w:ind w:left="5040" w:hanging="360"/>
      </w:pPr>
    </w:lvl>
    <w:lvl w:ilvl="7" w:tplc="0F2423B2">
      <w:start w:val="1"/>
      <w:numFmt w:val="bullet"/>
      <w:lvlText w:val="●"/>
      <w:lvlJc w:val="left"/>
      <w:pPr>
        <w:ind w:left="5760" w:hanging="360"/>
      </w:pPr>
    </w:lvl>
    <w:lvl w:ilvl="8" w:tplc="B038F15C">
      <w:start w:val="1"/>
      <w:numFmt w:val="bullet"/>
      <w:lvlText w:val="●"/>
      <w:lvlJc w:val="left"/>
      <w:pPr>
        <w:ind w:left="6480" w:hanging="360"/>
      </w:pPr>
    </w:lvl>
  </w:abstractNum>
  <w:num w:numId="1" w16cid:durableId="1990353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8AA"/>
    <w:rsid w:val="005404B5"/>
    <w:rsid w:val="005578AA"/>
    <w:rsid w:val="00C7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5FED5"/>
  <w15:docId w15:val="{E7D9C264-7941-B746-9FB3-F9DB6FFE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2289</Words>
  <Characters>13048</Characters>
  <Application>Microsoft Office Word</Application>
  <DocSecurity>0</DocSecurity>
  <Lines>108</Lines>
  <Paragraphs>30</Paragraphs>
  <ScaleCrop>false</ScaleCrop>
  <Company/>
  <LinksUpToDate>false</LinksUpToDate>
  <CharactersWithSpaces>15307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Sendhil Kumar</cp:lastModifiedBy>
  <cp:revision>2</cp:revision>
  <dcterms:created xsi:type="dcterms:W3CDTF">2026-09-12T11:44:00Z</dcterms:created>
  <dcterms:modified xsi:type="dcterms:W3CDTF">2026-09-12T11:44:00Z</dcterms:modified>
</cp:coreProperties>
</file>