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F3D3E"/>
          <w:sz w:val="56"/>
          <w:szCs w:val="56"/>
        </w:rPr>
        <w:t xml:space="preserve">CAOS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A5C"/>
          <w:sz w:val="24"/>
          <w:szCs w:val="24"/>
        </w:rPr>
        <w:t xml:space="preserve">From Chaos to CAOS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626"/>
          <w:sz w:val="30"/>
          <w:szCs w:val="30"/>
        </w:rPr>
        <w:t xml:space="preserve">Feature &amp; Process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A5A5C"/>
          <w:sz w:val="21"/>
          <w:szCs w:val="21"/>
        </w:rPr>
        <w:t xml:space="preserve">Prepared for Venture Assist / Srivatsan &amp; Associates.</w:t>
      </w:r>
    </w:p>
    <w:p>
      <w:pPr>
        <w:pStyle w:val="Heading2"/>
        <w:spacing w:after="120" w:before="280"/>
      </w:pPr>
      <w:r>
        <w:t xml:space="preserve">Version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50"/>
      </w:tblGrid>
      <w:tr>
        <w:tc>
          <w:tcPr>
            <w:tcW w:type="dxa" w:w="1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2026-08-16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First externally shareable release: process flows for all 10 automation agents in text form.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2026-08-16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Added visual flow diagrams for every process, expanded step-by-step detail, and worked examples for the three highest-priority agents (Bookkeeping, Reconciliation, Client Communication).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2026-08-22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Updated the Bookkeeping/Voucher Entry and Reconciliation sections to reflect parallel support for Tally and Zoho Books — roughly 20-40% of the client base keeps its books in Zoho Books rather than Tally, and CAOS now handles both the same way. No other process changed.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2026-08-22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Restored the visual flow diagram for all 10 processes (omitted from v0.3), redrawn in the Design B teal/amber style. The Bookkeeping and Reconciliation diagrams reflect Tally + Zoho Books parity throughout.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v0.5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2026-09-18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Corrected the framing of the "Why This Matters — In Numbers" section. The figures were previously described as using the practice's own numbers as the baseline; the P0-01 finding (sprint plan v0.2.2, 2026-09-17) established that the practice does not currently track time-per-task, so they are discovery-conversation estimates rather than measured data, and are now presented that way. The numbers themselves are unchanged. No other section changed.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What CAOS Is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CAOS is a practice-automation platform built specifically for this practice — designed to close the gap between servicing roughly 100 GST returns a month today and a target of 500 within 6 months, without adding headcount. The name reflects what it replaces: a set of manual, fragmented processes — document chasing, bookkeeping, GST reconciliation, client follow-up, billing — that today depend on individual discipline and don't scale on their own.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CAOS is not a single tool bolted onto existing software. It's a set of purpose-built automation agents, each targeting a specific bottleneck, all working through one shared task system — so nothing depends on someone remembering to check a spreadsheet or a separate inbox. Every judgment call an agent can't make on its own becomes a task, assigned to a specific person, with a due date. If it's not resolved in time, it escalates automatically.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Clients keep their books in different systems — most in Tally, some in Zoho Books. CAOS works the same way either way: staff never have to think about which system a given client uses, since the platform handles that difference automatically behind the scenes.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document walks through each part of CAOS in detail — what it does, how the process flows, and exactly where a human stays in control — so the practice can see precisely how the system will work before it's built, not just what it's meant to achieve.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Why This Matters — In Numbers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These are estimates drawn from discovery conversations with the practice — not yet backed by measured data, since the practice doesn't currently track time-per-task. Once CAOS's own time-per-task tracking (Sprint 11) has been running for a while, these figures will be replaced with real measured numbers.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50"/>
      </w:tblGrid>
      <w:tr>
        <w:tc>
          <w:tcPr>
            <w:tcW w:type="dxa" w:w="28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3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time today</w:t>
            </w:r>
          </w:p>
        </w:tc>
        <w:tc>
          <w:tcPr>
            <w:tcW w:type="dxa" w:w="32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Realistic automated time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GSTR-2A/2B reconciliation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1–2 hrs/client/month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Minutes (review only)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Bookkeeping / voucher entry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Largest manual labor pool today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Review only, exceptions flagged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Document chasing/collection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 daily, unbilled time sink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Near-zero — auto-filed and tracked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Client follow-up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The single biggest stated pain point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Automated reminders, exceptions only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Working papers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Assembled manually per engagement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Auto-populated, auditor adds judgment only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target — 500 returns a month with the same 10-person team — only works if the hours-per-return drop by a proportional amount. That's what each agent below is built to do.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How CAOS Keeps Work Accountable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agent below can handle the routine, repeatable part of its job on its own. What it can't decide — a judgment call, an exception, something that needs a human's sign-off — becomes a task, not a notification buried in an inbox.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Each task has an owner and a due date, assigned automatically by role (junior staff, senior staff, or the proprietor, depending on what the task requires). If a task isn't resolved in time, it escalates — first to a senior team member, and if still unresolved, to the proprietor directly.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this matters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real bottleneck identified during discovery wasn't technology resistance — it was inconsistent follow-through on process. CAOS is built to enforce that discipline structurally, rather than depend on everyone remembering to check the task sheet at 10am every day.</w:t>
      </w:r>
    </w:p>
    <w:p>
      <w:pPr>
        <w:spacing w:after="280"/>
      </w:pPr>
    </w:p>
    <w:p>
      <w:pPr>
        <w:pStyle w:val="Heading1"/>
        <w:spacing w:after="160" w:before="360"/>
      </w:pPr>
      <w:r>
        <w:t xml:space="preserve">Core Process Flows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Each process below follows the same structure: what it's meant to solve, a step-by-step walkthrough, and exactly where a human stays involved.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1. Document Intake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Eliminate manual chasing and filing of client documents.</w:t>
      </w:r>
    </w:p>
    <w:p>
      <w:pPr>
        <w:spacing w:after="200"/>
        <w:jc w:val="center"/>
      </w:pPr>
      <w:r>
        <w:drawing>
          <wp:inline distT="0" distB="0" distL="0" distR="0">
            <wp:extent cx="38100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 sends a document — </w:t>
      </w:r>
      <w:r>
        <w:rPr>
          <w:rFonts w:ascii="Calibri" w:cs="Calibri" w:eastAsia="Calibri" w:hAnsi="Calibri"/>
          <w:sz w:val="21"/>
          <w:szCs w:val="21"/>
        </w:rPr>
        <w:t xml:space="preserve">By email, primarily — over 99% of the practice's document flow today already happens this way, so no change is needed on the client's end.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CAOS identifies client and document type — </w:t>
      </w:r>
      <w:r>
        <w:rPr>
          <w:rFonts w:ascii="Calibri" w:cs="Calibri" w:eastAsia="Calibri" w:hAnsi="Calibri"/>
          <w:sz w:val="21"/>
          <w:szCs w:val="21"/>
        </w:rPr>
        <w:t xml:space="preserve">The system recognizes which client the document belongs to and classifies it — invoice, bank statement, GSTR filing, Form 26AS, and so on —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Key data is extracted — </w:t>
      </w:r>
      <w:r>
        <w:rPr>
          <w:rFonts w:ascii="Calibri" w:cs="Calibri" w:eastAsia="Calibri" w:hAnsi="Calibri"/>
          <w:sz w:val="21"/>
          <w:szCs w:val="21"/>
        </w:rPr>
        <w:t xml:space="preserve">Amounts, dates, GSTIN, and vendor name are pulled out of the document, ready for the next agent (usually Bookkeeping) to use.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is filed automatically — </w:t>
      </w:r>
      <w:r>
        <w:rPr>
          <w:rFonts w:ascii="Calibri" w:cs="Calibri" w:eastAsia="Calibri" w:hAnsi="Calibri"/>
          <w:sz w:val="21"/>
          <w:szCs w:val="21"/>
        </w:rPr>
        <w:t xml:space="preserve">It lands in the correct client and period folder — no one has to manually sort or rename anything.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Checklist stays current — </w:t>
      </w:r>
      <w:r>
        <w:rPr>
          <w:rFonts w:ascii="Calibri" w:cs="Calibri" w:eastAsia="Calibri" w:hAnsi="Calibri"/>
          <w:sz w:val="21"/>
          <w:szCs w:val="21"/>
        </w:rPr>
        <w:t xml:space="preserve">A running view shows exactly what's still outstanding for each client and period, so nothing quietly falls through the cracks.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Reminders go out automatically — </w:t>
      </w:r>
      <w:r>
        <w:rPr>
          <w:rFonts w:ascii="Calibri" w:cs="Calibri" w:eastAsia="Calibri" w:hAnsi="Calibri"/>
          <w:sz w:val="21"/>
          <w:szCs w:val="21"/>
        </w:rPr>
        <w:t xml:space="preserve">If something is still missing beyond a set number of days, the client gets a reminder without staff having to track it manually.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only the exceptions — a document CAOS can't confidently classify or read.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2. Bookkeeping / Voucher Entry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the largest manual labor pool in the practice today — entering client purchase and sales records into the client's own bookkeeping system, whether that's Tally or Zoho Books.</w:t>
      </w:r>
    </w:p>
    <w:p>
      <w:pPr>
        <w:spacing w:after="200"/>
        <w:jc w:val="center"/>
      </w:pPr>
      <w:r>
        <w:drawing>
          <wp:inline distT="0" distB="0" distL="0" distR="0">
            <wp:extent cx="38100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 items are extracted — </w:t>
      </w:r>
      <w:r>
        <w:rPr>
          <w:rFonts w:ascii="Calibri" w:cs="Calibri" w:eastAsia="Calibri" w:hAnsi="Calibri"/>
          <w:sz w:val="21"/>
          <w:szCs w:val="21"/>
        </w:rPr>
        <w:t xml:space="preserve">Vendor name, date, amount, GST, and HSN code are pulled from the intake document.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Vendor is matched to an existing ledger — </w:t>
      </w:r>
      <w:r>
        <w:rPr>
          <w:rFonts w:ascii="Calibri" w:cs="Calibri" w:eastAsia="Calibri" w:hAnsi="Calibri"/>
          <w:sz w:val="21"/>
          <w:szCs w:val="21"/>
        </w:rPr>
        <w:t xml:space="preserve">CAOS compares the vendor name against the client's own bookkeeping records — Tally or Zoho Books, whichever the client uses — allowing for minor spelling and formatting variations between what's on the invoice and what's already set up there.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Confident match → a draft entry is staged automatically for review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No confident match → flagged as a task to confirm or create a new ledger/account, rather than guessing and risking a misposted entry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Staff review the staged entry — </w:t>
      </w:r>
      <w:r>
        <w:rPr>
          <w:rFonts w:ascii="Calibri" w:cs="Calibri" w:eastAsia="Calibri" w:hAnsi="Calibri"/>
          <w:sz w:val="21"/>
          <w:szCs w:val="21"/>
        </w:rPr>
        <w:t xml:space="preserve">The original source document sits alongside the draft entry on screen, so a quick visual check against the invoice is all it takes to confirm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Approved entries post directly — </w:t>
      </w:r>
      <w:r>
        <w:rPr>
          <w:rFonts w:ascii="Calibri" w:cs="Calibri" w:eastAsia="Calibri" w:hAnsi="Calibri"/>
          <w:sz w:val="21"/>
          <w:szCs w:val="21"/>
        </w:rPr>
        <w:t xml:space="preserve">Once approved, the entry is posted straight into the client's own system — a Tally voucher or a Zoho Books bill/journal entry — no re-typing, and no difference in the staff experience either way.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 clients keep their books in Tally, others in Zoho Books. CAOS handles both the same way — staff work from one consistent review screen regardless of which system a given client is on.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 invoice from "Coastal Components Pvt Ltd" arrives. CAOS matches it to the existing "Coastal Components" ledger — whether that ledger lives in Tally or Zoho Books — despite the slightly different name, extracts the amount and GST split, and stages a draft entry ready for a one-glance approval rather than manual re-entry.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every staged entry before it posts — nothing enters the client's books without a human confirming it, even on high-confidence matches.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3. Reconciliation (GSTR-2A/2B vs. Purchase Register)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Replace the single biggest manual time sink in GST compliance work.</w:t>
      </w:r>
    </w:p>
    <w:p>
      <w:pPr>
        <w:spacing w:after="200"/>
        <w:jc w:val="center"/>
      </w:pPr>
      <w:r>
        <w:drawing>
          <wp:inline distT="0" distB="0" distL="0" distR="0">
            <wp:extent cx="3810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is pulled in automatically — </w:t>
      </w:r>
      <w:r>
        <w:rPr>
          <w:rFonts w:ascii="Calibri" w:cs="Calibri" w:eastAsia="Calibri" w:hAnsi="Calibri"/>
          <w:sz w:val="21"/>
          <w:szCs w:val="21"/>
        </w:rPr>
        <w:t xml:space="preserve">Purchase register data from the client's bookkeeping system — Tally or Zoho Books — and GSTR-2A/2B data from the government system are fetched each period without anyone manually downloading or exporting anything.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 items are matched — </w:t>
      </w:r>
      <w:r>
        <w:rPr>
          <w:rFonts w:ascii="Calibri" w:cs="Calibri" w:eastAsia="Calibri" w:hAnsi="Calibri"/>
          <w:sz w:val="21"/>
          <w:szCs w:val="21"/>
        </w:rPr>
        <w:t xml:space="preserve">CAOS compares entries by GSTIN, invoice number, and amount.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confirmed automatically and included in the ITC claim summary — no review needed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Mismatched or missing → flagged with the specific reason (timing difference, vendor hasn't filed yet, amount mismatch, or duplicate entry)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reconciliation statement is generated — </w:t>
      </w:r>
      <w:r>
        <w:rPr>
          <w:rFonts w:ascii="Calibri" w:cs="Calibri" w:eastAsia="Calibri" w:hAnsi="Calibri"/>
          <w:sz w:val="21"/>
          <w:szCs w:val="21"/>
        </w:rPr>
        <w:t xml:space="preserve">Ready for filing, with matched items already accounted for.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Of 350 purchase entries for a client in a given month, 340 match cleanly against GSTR-2B and are confirmed instantly. The remaining 10 are flagged — say, 6 because the vendor hasn't filed their return yet, 3 with a small amount mismatch, and 1 duplicate. The auditor reviews exactly those 10, not all 350.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reviews only the mismatch list — never the full ledger.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4. Validation / Compliance Checks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Catch errors before they become notices from the department.</w:t>
      </w:r>
    </w:p>
    <w:p>
      <w:pPr>
        <w:spacing w:after="200"/>
        <w:jc w:val="center"/>
      </w:pPr>
      <w:r>
        <w:drawing>
          <wp:inline distT="0" distB="0" distL="0" distR="0">
            <wp:extent cx="3810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Draft return data is pulled in — </w:t>
      </w:r>
      <w:r>
        <w:rPr>
          <w:rFonts w:ascii="Calibri" w:cs="Calibri" w:eastAsia="Calibri" w:hAnsi="Calibri"/>
          <w:sz w:val="21"/>
          <w:szCs w:val="21"/>
        </w:rPr>
        <w:t xml:space="preserve">GSTR-1, GSTR-3B, and books data are gathered ahead of the filing deadline, not at the last minute.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Standard checks run automatically — </w:t>
      </w:r>
      <w:r>
        <w:rPr>
          <w:rFonts w:ascii="Calibri" w:cs="Calibri" w:eastAsia="Calibri" w:hAnsi="Calibri"/>
          <w:sz w:val="21"/>
          <w:szCs w:val="21"/>
        </w:rPr>
        <w:t xml:space="preserve">GSTR-1 output tax is compared against GSTR-3B, HSN codes are checked for correctness, tax rates are validated against the standard rate table, and TDS in Form 26AS is checked against the books.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All clear → cleared for filing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Discrepancy found → flagged to the auditor with the exact line item and variance amount, while there's still time to fix it before the deadline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signs off only on flagged items and the final filing.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5. Client Communication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Remove routine follow-up from the auditor's and staff's plate — the single biggest stated pain point in the practice today.</w:t>
      </w:r>
    </w:p>
    <w:p>
      <w:pPr>
        <w:spacing w:after="200"/>
        <w:jc w:val="center"/>
      </w:pPr>
      <w:r>
        <w:drawing>
          <wp:inline distT="0" distB="0" distL="0" distR="0">
            <wp:extent cx="3810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trigger fires — </w:t>
      </w:r>
      <w:r>
        <w:rPr>
          <w:rFonts w:ascii="Calibri" w:cs="Calibri" w:eastAsia="Calibri" w:hAnsi="Calibri"/>
          <w:sz w:val="21"/>
          <w:szCs w:val="21"/>
        </w:rPr>
        <w:t xml:space="preserve">An approaching deadline, a document still pending, or a query raised during reconciliation or validation.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right message is prepared — </w:t>
      </w:r>
      <w:r>
        <w:rPr>
          <w:rFonts w:ascii="Calibri" w:cs="Calibri" w:eastAsia="Calibri" w:hAnsi="Calibri"/>
          <w:sz w:val="21"/>
          <w:szCs w:val="21"/>
        </w:rPr>
        <w:t xml:space="preserve">CAOS selects the appropriate template and fills in the client-specific details automatically.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Routine reminder → sent automatically, no review needed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Anything needing judgment or tone → drafted, then routed to the auditor for approval before it goes out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exchange is logged — </w:t>
      </w:r>
      <w:r>
        <w:rPr>
          <w:rFonts w:ascii="Calibri" w:cs="Calibri" w:eastAsia="Calibri" w:hAnsi="Calibri"/>
          <w:sz w:val="21"/>
          <w:szCs w:val="21"/>
        </w:rPr>
        <w:t xml:space="preserve">Every communication is recorded against the client's record automatically, building a complete history without manual note-taking.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client's GSTR-1 filing requires OTP confirmation today. CAOS flags this as a time-sensitive task and prompts staff to call the client before a specific cutoff time — rather than the deadline being missed because no one realized today was the day it mattered.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Anything requiring interpretation or tone judgment goes through the auditor first — CAOS never sends a judgment call on its own.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6. TDS/TCS Return Automation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Apply the same reconciliation logic already built for GST to TDS/TCS compliance.</w:t>
      </w:r>
    </w:p>
    <w:p>
      <w:pPr>
        <w:spacing w:after="200"/>
        <w:jc w:val="center"/>
      </w:pPr>
      <w:r>
        <w:drawing>
          <wp:inline distT="0" distB="0" distL="0" distR="0">
            <wp:extent cx="3810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TDS data is pulled in — </w:t>
      </w:r>
      <w:r>
        <w:rPr>
          <w:rFonts w:ascii="Calibri" w:cs="Calibri" w:eastAsia="Calibri" w:hAnsi="Calibri"/>
          <w:sz w:val="21"/>
          <w:szCs w:val="21"/>
        </w:rPr>
        <w:t xml:space="preserve">Deductions per books and Form 26AS/TRACES data are gathered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Deductions are matched — </w:t>
      </w:r>
      <w:r>
        <w:rPr>
          <w:rFonts w:ascii="Calibri" w:cs="Calibri" w:eastAsia="Calibri" w:hAnsi="Calibri"/>
          <w:sz w:val="21"/>
          <w:szCs w:val="21"/>
        </w:rPr>
        <w:t xml:space="preserve">Against deposits and due dates, the same way GST reconciliation matches purchase entries.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included in the quarterly return draft automatically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Short deduction, late deposit, or mismatch → flagged to the auditor with the specific entry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quarterly return is prepared — </w:t>
      </w:r>
      <w:r>
        <w:rPr>
          <w:rFonts w:ascii="Calibri" w:cs="Calibri" w:eastAsia="Calibri" w:hAnsi="Calibri"/>
          <w:sz w:val="21"/>
          <w:szCs w:val="21"/>
        </w:rPr>
        <w:t xml:space="preserve">24Q, 26Q, or 27EQ, ready for review and filing.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reviews only the flagged short-deductions or late deposits before filing.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7. Bank Reconciliation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a task that's currently manual for most small and mid-size clients.</w:t>
      </w:r>
    </w:p>
    <w:p>
      <w:pPr>
        <w:spacing w:after="200"/>
        <w:jc w:val="center"/>
      </w:pPr>
      <w:r>
        <w:drawing>
          <wp:inline distT="0" distB="0" distL="0" distR="0">
            <wp:extent cx="3810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Bank and books data are pulled in — </w:t>
      </w:r>
      <w:r>
        <w:rPr>
          <w:rFonts w:ascii="Calibri" w:cs="Calibri" w:eastAsia="Calibri" w:hAnsi="Calibri"/>
          <w:sz w:val="21"/>
          <w:szCs w:val="21"/>
        </w:rPr>
        <w:t xml:space="preserve">Across all of a client's bank accounts, not just one at a time.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Entries are auto-matched — </w:t>
      </w:r>
      <w:r>
        <w:rPr>
          <w:rFonts w:ascii="Calibri" w:cs="Calibri" w:eastAsia="Calibri" w:hAnsi="Calibri"/>
          <w:sz w:val="21"/>
          <w:szCs w:val="21"/>
        </w:rPr>
        <w:t xml:space="preserve">By date, amount, and reference number.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confirmed automatically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Unmatched → flagged for staff review (bank charges, unrecorded entries, or simple timing differences)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statement is generated — </w:t>
      </w:r>
      <w:r>
        <w:rPr>
          <w:rFonts w:ascii="Calibri" w:cs="Calibri" w:eastAsia="Calibri" w:hAnsi="Calibri"/>
          <w:sz w:val="21"/>
          <w:szCs w:val="21"/>
        </w:rPr>
        <w:t xml:space="preserve">Per account, per period, ready for the client file.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only the unmatched items list.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8. Working Papers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Standardize and speed up documentation for every engagement.</w:t>
      </w:r>
    </w:p>
    <w:p>
      <w:pPr>
        <w:spacing w:after="200"/>
        <w:jc w:val="center"/>
      </w:pPr>
      <w:r>
        <w:drawing>
          <wp:inline distT="0" distB="0" distL="0" distR="0">
            <wp:extent cx="3810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Output feeds in automatically — </w:t>
      </w:r>
      <w:r>
        <w:rPr>
          <w:rFonts w:ascii="Calibri" w:cs="Calibri" w:eastAsia="Calibri" w:hAnsi="Calibri"/>
          <w:sz w:val="21"/>
          <w:szCs w:val="21"/>
        </w:rPr>
        <w:t xml:space="preserve">Reconciliation results, validation results, and client documents populate the working paper without manual assembly.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standard template is populated — </w:t>
      </w:r>
      <w:r>
        <w:rPr>
          <w:rFonts w:ascii="Calibri" w:cs="Calibri" w:eastAsia="Calibri" w:hAnsi="Calibri"/>
          <w:sz w:val="21"/>
          <w:szCs w:val="21"/>
        </w:rPr>
        <w:t xml:space="preserve">Scope, data sources, and exceptions noted — the factual backbone of the working paper — all assembled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auditor adds judgment — </w:t>
      </w:r>
      <w:r>
        <w:rPr>
          <w:rFonts w:ascii="Calibri" w:cs="Calibri" w:eastAsia="Calibri" w:hAnsi="Calibri"/>
          <w:sz w:val="21"/>
          <w:szCs w:val="21"/>
        </w:rPr>
        <w:t xml:space="preserve">Professional conclusions and notes remain entirely auditor-authored — CAOS never writes these.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finalized paper is filed — </w:t>
      </w:r>
      <w:r>
        <w:rPr>
          <w:rFonts w:ascii="Calibri" w:cs="Calibri" w:eastAsia="Calibri" w:hAnsi="Calibri"/>
          <w:sz w:val="21"/>
          <w:szCs w:val="21"/>
        </w:rPr>
        <w:t xml:space="preserve">To the client's record, complete and ready for reference.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professional judgment and conclusions remain auditor-authored — CAOS only assembles the factual backbone.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9. Practice Visibility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Give the practice real visibility into its own capacity — the foundation for taking on more clients without more headcount.</w:t>
      </w:r>
    </w:p>
    <w:p>
      <w:pPr>
        <w:spacing w:after="200"/>
        <w:jc w:val="center"/>
      </w:pPr>
      <w:r>
        <w:drawing>
          <wp:inline distT="0" distB="0" distL="0" distR="0">
            <wp:extent cx="3810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Deadlines are consolidated — </w:t>
      </w:r>
      <w:r>
        <w:rPr>
          <w:rFonts w:ascii="Calibri" w:cs="Calibri" w:eastAsia="Calibri" w:hAnsi="Calibri"/>
          <w:sz w:val="21"/>
          <w:szCs w:val="21"/>
        </w:rPr>
        <w:t xml:space="preserve">Every client and every compliance type — GST, IT, TDS, ROC — appears on one calendar instead of being tracked separately.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Workload is tracked in real time — </w:t>
      </w:r>
      <w:r>
        <w:rPr>
          <w:rFonts w:ascii="Calibri" w:cs="Calibri" w:eastAsia="Calibri" w:hAnsi="Calibri"/>
          <w:sz w:val="21"/>
          <w:szCs w:val="21"/>
        </w:rPr>
        <w:t xml:space="preserve">Staff capacity is measured against actual upcoming deadlines, not estimated after the fact.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Time is logged automatically — </w:t>
      </w:r>
      <w:r>
        <w:rPr>
          <w:rFonts w:ascii="Calibri" w:cs="Calibri" w:eastAsia="Calibri" w:hAnsi="Calibri"/>
          <w:sz w:val="21"/>
          <w:szCs w:val="21"/>
        </w:rPr>
        <w:t xml:space="preserve">Per client and per task, building the real numbers the practice needs for its own planning.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Capacity available → the dashboard shows exactly which staff or time slots can take on new client work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Overload risk → flagged ahead of the deadline crunch, not discovered after it's already a problem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proprietor and senior staff make all staffing and client-acceptance decisions — CAOS only surfaces the data.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10. Client Billing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invoicing based on services actually delivered, replacing the current ad hoc, per-client billing approach.</w:t>
      </w:r>
    </w:p>
    <w:p>
      <w:pPr>
        <w:spacing w:after="200"/>
        <w:jc w:val="center"/>
      </w:pPr>
      <w:r>
        <w:drawing>
          <wp:inline distT="0" distB="0" distL="0" distR="0">
            <wp:extent cx="3810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Services and pricing are set up once per client — </w:t>
      </w:r>
      <w:r>
        <w:rPr>
          <w:rFonts w:ascii="Calibri" w:cs="Calibri" w:eastAsia="Calibri" w:hAnsi="Calibri"/>
          <w:sz w:val="21"/>
          <w:szCs w:val="21"/>
        </w:rPr>
        <w:t xml:space="preserve">Each client's subscribed services are configured against the practice's own service catalog.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Billable events are logged automatically — </w:t>
      </w:r>
      <w:r>
        <w:rPr>
          <w:rFonts w:ascii="Calibri" w:cs="Calibri" w:eastAsia="Calibri" w:hAnsi="Calibri"/>
          <w:sz w:val="21"/>
          <w:szCs w:val="21"/>
        </w:rPr>
        <w:t xml:space="preserve">As agents complete work — a filing, a reconciliation, a bookkeeping cycle — it's recorded as a billable event without anyone tracking it manually.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draft invoice is generated — </w:t>
      </w:r>
      <w:r>
        <w:rPr>
          <w:rFonts w:ascii="Calibri" w:cs="Calibri" w:eastAsia="Calibri" w:hAnsi="Calibri"/>
          <w:sz w:val="21"/>
          <w:szCs w:val="21"/>
        </w:rPr>
        <w:t xml:space="preserve">GST-compliant, with the correct GSTIN, HSN/SAC codes, and tax breakup, each billing cycle.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proprietor approves before sending — </w:t>
      </w:r>
      <w:r>
        <w:rPr>
          <w:rFonts w:ascii="Calibri" w:cs="Calibri" w:eastAsia="Calibri" w:hAnsi="Calibri"/>
          <w:sz w:val="21"/>
          <w:szCs w:val="21"/>
        </w:rPr>
        <w:t xml:space="preserve">Nothing goes to a client without sign-off.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invoice is reviewed and approved by the proprietor before it goes out — nothing is billed automatically without sign-off.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Before Any of This: Standardization Checklist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Automation fails fast without this groundwork in place first.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0"/>
        <w:gridCol w:w="2400"/>
      </w:tblGrid>
      <w:tr>
        <w:tc>
          <w:tcPr>
            <w:tcW w:type="dxa" w:w="7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Standardize</w:t>
            </w:r>
          </w:p>
        </w:tc>
        <w:tc>
          <w:tcPr>
            <w:tcW w:type="dxa" w:w="2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1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Document naming &amp; folder structure (per client/period)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Client onboarding data-request format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3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Chart of accounts consistency across clients (or a mapping layer)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 + delivery team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4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Written SOP for each process above (steps + exception rules)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Auditor + staff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5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Exception thresholds (what auto-flags vs. auto-clears)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Auditor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Potential Future Additions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Not part of the current build — worth a future conversation once the core platform is live and proven.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Notice / Scrutiny Tracking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Log GST/IT notices, draft first-cut responses using precedent, and track response deadlines. Deprioritized for now since notice volume is currently low.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Financial Statement Analysis / Ratio Tracking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Auto-generate trend analysis and industry ratio comparisons once books are fully digitized.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ROC / Companies Act Compliance Tracker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Track AOC-4, MGT-7, DIR-3 KYC and other corporate filing deadlines with auto-alerts.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Fixed Asset Register &amp; Depreciation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Maintain the asset register and compute depreciation under both the Companies Act and Income Tax Act.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Audit Sampling &amp; Risk-Scoring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Apply materiality thresholds and flag high-risk transactions for focused audit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89494072e58d9169a755cd00897ad8352494e9.png"/><Relationship Id="rId8" Type="http://schemas.openxmlformats.org/officeDocument/2006/relationships/image" Target="media/7151e0943abe06d8fee30fdd135eaf5dab0e837a.png"/><Relationship Id="rId9" Type="http://schemas.openxmlformats.org/officeDocument/2006/relationships/image" Target="media/74e3c47d7f1cfa5a0d099ff55c22486ffb9f56cb.png"/><Relationship Id="rId10" Type="http://schemas.openxmlformats.org/officeDocument/2006/relationships/image" Target="media/ff6fa402aa756bc4d50e44a567018a704f1799e6.png"/><Relationship Id="rId11" Type="http://schemas.openxmlformats.org/officeDocument/2006/relationships/image" Target="media/c31537f035de4d11d03cfe30b1b1cb02406ec115.png"/><Relationship Id="rId12" Type="http://schemas.openxmlformats.org/officeDocument/2006/relationships/image" Target="media/2c44489c39a5cf6ff8f1323060c3ed1738926672.png"/><Relationship Id="rId13" Type="http://schemas.openxmlformats.org/officeDocument/2006/relationships/image" Target="media/d46ec3cfdd9ea842ec44131bb20b27e3cd206ccd.png"/><Relationship Id="rId14" Type="http://schemas.openxmlformats.org/officeDocument/2006/relationships/image" Target="media/606cb880406d68f9a761b83c8493ce84bec0a8f7.png"/><Relationship Id="rId15" Type="http://schemas.openxmlformats.org/officeDocument/2006/relationships/image" Target="media/aae47918ec23a81587298595dd9b7b2faeb28163.png"/><Relationship Id="rId16" Type="http://schemas.openxmlformats.org/officeDocument/2006/relationships/image" Target="media/9643f4738327a03ef3f227c59541844d6cb2114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2026-08-22T01:45:37.343Z</dcterms:created>
  <dcterms:modified xsi:type="dcterms:W3CDTF">2026-08-22T01:45:37.344Z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