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B4B6" w14:textId="22E81C2B" w:rsidR="007834D2" w:rsidRPr="00C641AC" w:rsidRDefault="007834D2" w:rsidP="007834D2">
      <w:pPr>
        <w:rPr>
          <w:rFonts w:ascii="Calibri" w:hAnsi="Calibri" w:cs="Calibri"/>
          <w:b/>
          <w:bCs/>
          <w:color w:val="004E9A"/>
          <w:sz w:val="44"/>
          <w:szCs w:val="40"/>
        </w:rPr>
      </w:pPr>
      <w:r>
        <w:rPr>
          <w:rFonts w:ascii="Calibri" w:hAnsi="Calibri" w:cs="Calibri"/>
          <w:b/>
          <w:bCs/>
          <w:color w:val="004E9A"/>
          <w:sz w:val="44"/>
          <w:szCs w:val="40"/>
        </w:rPr>
        <w:t>Bank Customer Churn Analysis Dashboard</w:t>
      </w:r>
    </w:p>
    <w:p w14:paraId="75CC6588" w14:textId="77777777" w:rsidR="007834D2" w:rsidRDefault="007834D2" w:rsidP="007834D2">
      <w:pPr>
        <w:pBdr>
          <w:bottom w:val="single" w:sz="4" w:space="1" w:color="auto"/>
        </w:pBdr>
        <w:rPr>
          <w:rFonts w:ascii="Calibri" w:hAnsi="Calibri" w:cs="Calibri"/>
          <w:color w:val="747474" w:themeColor="background2" w:themeShade="80"/>
          <w:sz w:val="36"/>
          <w:szCs w:val="36"/>
        </w:rPr>
      </w:pPr>
      <w:r w:rsidRPr="00C641AC">
        <w:rPr>
          <w:rFonts w:ascii="Calibri" w:hAnsi="Calibri" w:cs="Calibri"/>
          <w:color w:val="747474" w:themeColor="background2" w:themeShade="80"/>
          <w:sz w:val="36"/>
          <w:szCs w:val="36"/>
        </w:rPr>
        <w:t>Business Analysis – Key Findings</w:t>
      </w:r>
    </w:p>
    <w:p w14:paraId="77F35F19" w14:textId="77777777" w:rsidR="007834D2" w:rsidRDefault="007834D2" w:rsidP="007834D2">
      <w:pPr>
        <w:rPr>
          <w:rFonts w:ascii="Calibri" w:hAnsi="Calibri" w:cs="Calibri"/>
          <w:color w:val="007BB8"/>
          <w:sz w:val="28"/>
          <w:szCs w:val="28"/>
        </w:rPr>
      </w:pPr>
      <w:r w:rsidRPr="00506CDF">
        <w:rPr>
          <w:rFonts w:ascii="Calibri" w:hAnsi="Calibri" w:cs="Calibri"/>
          <w:color w:val="007BB8"/>
          <w:sz w:val="28"/>
          <w:szCs w:val="28"/>
        </w:rPr>
        <w:t>Insight 1</w:t>
      </w:r>
      <w:r>
        <w:rPr>
          <w:rFonts w:ascii="Calibri" w:hAnsi="Calibri" w:cs="Calibri"/>
          <w:color w:val="007BB8"/>
          <w:sz w:val="28"/>
          <w:szCs w:val="28"/>
        </w:rPr>
        <w:t xml:space="preserve">: </w:t>
      </w:r>
      <w:r w:rsidRPr="007834D2">
        <w:rPr>
          <w:rFonts w:ascii="Calibri" w:hAnsi="Calibri" w:cs="Calibri"/>
          <w:color w:val="007BB8"/>
          <w:sz w:val="28"/>
          <w:szCs w:val="28"/>
        </w:rPr>
        <w:t>Churn doesn't change much across common factors</w:t>
      </w:r>
    </w:p>
    <w:p w14:paraId="4F5AEB6F" w14:textId="77777777" w:rsidR="007834D2" w:rsidRPr="007834D2" w:rsidRDefault="007834D2" w:rsidP="007834D2">
      <w:pPr>
        <w:rPr>
          <w:rFonts w:ascii="Calibri" w:hAnsi="Calibri" w:cs="Calibri"/>
          <w:color w:val="404040" w:themeColor="text1" w:themeTint="BF"/>
          <w:szCs w:val="22"/>
        </w:rPr>
      </w:pPr>
      <w:r w:rsidRPr="007834D2">
        <w:rPr>
          <w:rFonts w:ascii="Calibri" w:hAnsi="Calibri" w:cs="Calibri"/>
          <w:color w:val="404040" w:themeColor="text1" w:themeTint="BF"/>
          <w:szCs w:val="22"/>
        </w:rPr>
        <w:t>Churn rate stays around 19–21% no matter which country (France 20.09%, Germany 20.69%, Spain 20.91%), age group (under 30: 20.66%, 60+: 19.06%), or account type (Current 20.38%, Savings 20.78%) you look at.</w:t>
      </w:r>
    </w:p>
    <w:p w14:paraId="3D60142F" w14:textId="1C371C35" w:rsidR="007834D2" w:rsidRDefault="007834D2" w:rsidP="007834D2">
      <w:pPr>
        <w:rPr>
          <w:rFonts w:ascii="Calibri" w:hAnsi="Calibri" w:cs="Calibri"/>
          <w:color w:val="404040" w:themeColor="text1" w:themeTint="BF"/>
          <w:szCs w:val="22"/>
        </w:rPr>
      </w:pPr>
      <w:proofErr w:type="gramStart"/>
      <w:r w:rsidRPr="007834D2">
        <w:rPr>
          <w:rFonts w:ascii="Calibri" w:hAnsi="Calibri" w:cs="Calibri"/>
          <w:b/>
          <w:bCs/>
          <w:color w:val="262626" w:themeColor="text1" w:themeTint="D9"/>
          <w:szCs w:val="22"/>
        </w:rPr>
        <w:t>So</w:t>
      </w:r>
      <w:proofErr w:type="gramEnd"/>
      <w:r w:rsidRPr="007834D2">
        <w:rPr>
          <w:rFonts w:ascii="Calibri" w:hAnsi="Calibri" w:cs="Calibri"/>
          <w:b/>
          <w:bCs/>
          <w:color w:val="262626" w:themeColor="text1" w:themeTint="D9"/>
          <w:szCs w:val="22"/>
        </w:rPr>
        <w:t xml:space="preserve"> what:</w:t>
      </w:r>
      <w:r w:rsidRPr="007834D2">
        <w:rPr>
          <w:rFonts w:ascii="Calibri" w:hAnsi="Calibri" w:cs="Calibri"/>
          <w:b/>
          <w:bCs/>
          <w:color w:val="007BB8"/>
          <w:sz w:val="28"/>
          <w:szCs w:val="28"/>
        </w:rPr>
        <w:t xml:space="preserve"> </w:t>
      </w:r>
      <w:r w:rsidRPr="007834D2">
        <w:rPr>
          <w:rFonts w:ascii="Calibri" w:hAnsi="Calibri" w:cs="Calibri"/>
          <w:color w:val="404040" w:themeColor="text1" w:themeTint="BF"/>
          <w:szCs w:val="22"/>
        </w:rPr>
        <w:t xml:space="preserve">Geography, age, and account type don't explain who leaves. The bank needs to look at </w:t>
      </w:r>
      <w:proofErr w:type="spellStart"/>
      <w:r w:rsidR="005F33BB" w:rsidRPr="007834D2">
        <w:rPr>
          <w:rFonts w:ascii="Calibri" w:hAnsi="Calibri" w:cs="Calibri"/>
          <w:color w:val="404040" w:themeColor="text1" w:themeTint="BF"/>
          <w:szCs w:val="22"/>
        </w:rPr>
        <w:t>behaviour</w:t>
      </w:r>
      <w:proofErr w:type="spellEnd"/>
      <w:r w:rsidRPr="007834D2">
        <w:rPr>
          <w:rFonts w:ascii="Calibri" w:hAnsi="Calibri" w:cs="Calibri"/>
          <w:color w:val="404040" w:themeColor="text1" w:themeTint="BF"/>
          <w:szCs w:val="22"/>
        </w:rPr>
        <w:t xml:space="preserve"> data, like activity level, complaints, or satisfaction score, to find the real reason customer churn.</w:t>
      </w:r>
    </w:p>
    <w:p w14:paraId="79D46ACD" w14:textId="77777777" w:rsidR="007834D2" w:rsidRPr="005F33BB" w:rsidRDefault="007834D2" w:rsidP="007834D2">
      <w:pPr>
        <w:rPr>
          <w:rFonts w:ascii="Calibri" w:hAnsi="Calibri" w:cs="Calibri"/>
          <w:color w:val="007BB8"/>
          <w:sz w:val="28"/>
          <w:szCs w:val="28"/>
        </w:rPr>
      </w:pPr>
      <w:r w:rsidRPr="005F33BB">
        <w:rPr>
          <w:rFonts w:ascii="Calibri" w:hAnsi="Calibri" w:cs="Calibri"/>
          <w:color w:val="007BB8"/>
          <w:sz w:val="28"/>
          <w:szCs w:val="28"/>
        </w:rPr>
        <w:t>Insight 2: About 1 in every 5 customers has left the bank</w:t>
      </w:r>
    </w:p>
    <w:p w14:paraId="651225C5" w14:textId="77777777" w:rsidR="007834D2" w:rsidRPr="007834D2" w:rsidRDefault="007834D2" w:rsidP="007834D2">
      <w:pPr>
        <w:rPr>
          <w:rFonts w:ascii="Calibri" w:hAnsi="Calibri" w:cs="Calibri"/>
          <w:color w:val="404040" w:themeColor="text1" w:themeTint="BF"/>
          <w:szCs w:val="22"/>
        </w:rPr>
      </w:pPr>
      <w:r w:rsidRPr="007834D2">
        <w:rPr>
          <w:rFonts w:ascii="Calibri" w:hAnsi="Calibri" w:cs="Calibri"/>
          <w:color w:val="404040" w:themeColor="text1" w:themeTint="BF"/>
          <w:szCs w:val="22"/>
        </w:rPr>
        <w:t>Out of 48,730 customers, 10,014 have churned. That's 21%, which is high for a bank. A healthy churn rate is usually 5–10%.</w:t>
      </w:r>
    </w:p>
    <w:p w14:paraId="043FD49B" w14:textId="77777777" w:rsidR="007834D2" w:rsidRPr="007834D2" w:rsidRDefault="007834D2" w:rsidP="007834D2">
      <w:pPr>
        <w:rPr>
          <w:rFonts w:ascii="Calibri" w:hAnsi="Calibri" w:cs="Calibri"/>
          <w:color w:val="404040" w:themeColor="text1" w:themeTint="BF"/>
          <w:szCs w:val="22"/>
        </w:rPr>
      </w:pPr>
      <w:proofErr w:type="gramStart"/>
      <w:r w:rsidRPr="005F33BB">
        <w:rPr>
          <w:rFonts w:ascii="Calibri" w:hAnsi="Calibri" w:cs="Calibri"/>
          <w:b/>
          <w:bCs/>
          <w:color w:val="262626" w:themeColor="text1" w:themeTint="D9"/>
          <w:szCs w:val="22"/>
        </w:rPr>
        <w:t>So</w:t>
      </w:r>
      <w:proofErr w:type="gramEnd"/>
      <w:r w:rsidRPr="005F33BB">
        <w:rPr>
          <w:rFonts w:ascii="Calibri" w:hAnsi="Calibri" w:cs="Calibri"/>
          <w:b/>
          <w:bCs/>
          <w:color w:val="262626" w:themeColor="text1" w:themeTint="D9"/>
          <w:szCs w:val="22"/>
        </w:rPr>
        <w:t xml:space="preserve"> what:</w:t>
      </w:r>
      <w:r w:rsidRPr="007834D2">
        <w:rPr>
          <w:rFonts w:ascii="Calibri" w:hAnsi="Calibri" w:cs="Calibri"/>
          <w:b/>
          <w:bCs/>
          <w:color w:val="404040" w:themeColor="text1" w:themeTint="BF"/>
          <w:szCs w:val="22"/>
        </w:rPr>
        <w:t xml:space="preserve"> </w:t>
      </w:r>
      <w:r w:rsidRPr="007834D2">
        <w:rPr>
          <w:rFonts w:ascii="Calibri" w:hAnsi="Calibri" w:cs="Calibri"/>
          <w:color w:val="404040" w:themeColor="text1" w:themeTint="BF"/>
          <w:szCs w:val="22"/>
        </w:rPr>
        <w:t>This isn't a small, isolated problem. Retention needs to become a bank-wide priority, not just a fix for one group of customers.</w:t>
      </w:r>
    </w:p>
    <w:p w14:paraId="1FCBF037" w14:textId="77777777" w:rsidR="007834D2" w:rsidRPr="005F33BB" w:rsidRDefault="007834D2" w:rsidP="007834D2">
      <w:pPr>
        <w:rPr>
          <w:rFonts w:ascii="Calibri" w:hAnsi="Calibri" w:cs="Calibri"/>
          <w:color w:val="007BB8"/>
          <w:sz w:val="28"/>
          <w:szCs w:val="28"/>
        </w:rPr>
      </w:pPr>
      <w:r w:rsidRPr="005F33BB">
        <w:rPr>
          <w:rFonts w:ascii="Calibri" w:hAnsi="Calibri" w:cs="Calibri"/>
          <w:color w:val="007BB8"/>
          <w:sz w:val="28"/>
          <w:szCs w:val="28"/>
        </w:rPr>
        <w:t xml:space="preserve">Insight 3: A large share of customers </w:t>
      </w:r>
      <w:proofErr w:type="gramStart"/>
      <w:r w:rsidRPr="005F33BB">
        <w:rPr>
          <w:rFonts w:ascii="Calibri" w:hAnsi="Calibri" w:cs="Calibri"/>
          <w:color w:val="007BB8"/>
          <w:sz w:val="28"/>
          <w:szCs w:val="28"/>
        </w:rPr>
        <w:t>are</w:t>
      </w:r>
      <w:proofErr w:type="gramEnd"/>
      <w:r w:rsidRPr="005F33BB">
        <w:rPr>
          <w:rFonts w:ascii="Calibri" w:hAnsi="Calibri" w:cs="Calibri"/>
          <w:color w:val="007BB8"/>
          <w:sz w:val="28"/>
          <w:szCs w:val="28"/>
        </w:rPr>
        <w:t xml:space="preserve"> already flagged as high churn risk</w:t>
      </w:r>
    </w:p>
    <w:p w14:paraId="6DCB2068" w14:textId="77777777" w:rsidR="007834D2" w:rsidRPr="007834D2" w:rsidRDefault="007834D2" w:rsidP="007834D2">
      <w:pPr>
        <w:rPr>
          <w:rFonts w:ascii="Calibri" w:hAnsi="Calibri" w:cs="Calibri"/>
          <w:color w:val="404040" w:themeColor="text1" w:themeTint="BF"/>
          <w:szCs w:val="22"/>
        </w:rPr>
      </w:pPr>
      <w:r w:rsidRPr="007834D2">
        <w:rPr>
          <w:rFonts w:ascii="Calibri" w:hAnsi="Calibri" w:cs="Calibri"/>
          <w:color w:val="404040" w:themeColor="text1" w:themeTint="BF"/>
          <w:szCs w:val="22"/>
        </w:rPr>
        <w:t>Around 14,117 customers, 29% of the base, are marked high-risk for churn.</w:t>
      </w:r>
    </w:p>
    <w:p w14:paraId="24A718FD" w14:textId="77777777" w:rsidR="007834D2" w:rsidRPr="007834D2" w:rsidRDefault="007834D2" w:rsidP="007834D2">
      <w:pPr>
        <w:rPr>
          <w:rFonts w:ascii="Calibri" w:hAnsi="Calibri" w:cs="Calibri"/>
          <w:color w:val="404040" w:themeColor="text1" w:themeTint="BF"/>
          <w:szCs w:val="22"/>
        </w:rPr>
      </w:pPr>
      <w:proofErr w:type="gramStart"/>
      <w:r w:rsidRPr="007834D2">
        <w:rPr>
          <w:rFonts w:ascii="Calibri" w:hAnsi="Calibri" w:cs="Calibri"/>
          <w:b/>
          <w:bCs/>
          <w:color w:val="404040" w:themeColor="text1" w:themeTint="BF"/>
          <w:szCs w:val="22"/>
        </w:rPr>
        <w:t>So</w:t>
      </w:r>
      <w:proofErr w:type="gramEnd"/>
      <w:r w:rsidRPr="007834D2">
        <w:rPr>
          <w:rFonts w:ascii="Calibri" w:hAnsi="Calibri" w:cs="Calibri"/>
          <w:b/>
          <w:bCs/>
          <w:color w:val="404040" w:themeColor="text1" w:themeTint="BF"/>
          <w:szCs w:val="22"/>
        </w:rPr>
        <w:t xml:space="preserve"> what: </w:t>
      </w:r>
      <w:r w:rsidRPr="007834D2">
        <w:rPr>
          <w:rFonts w:ascii="Calibri" w:hAnsi="Calibri" w:cs="Calibri"/>
          <w:color w:val="404040" w:themeColor="text1" w:themeTint="BF"/>
          <w:szCs w:val="22"/>
        </w:rPr>
        <w:t>That's too many customers to treat the same way. The bank should rank them further, for example high-risk customers with high balances should get priority attention first.</w:t>
      </w:r>
    </w:p>
    <w:p w14:paraId="39766845" w14:textId="77777777" w:rsidR="007834D2" w:rsidRPr="005F33BB" w:rsidRDefault="007834D2" w:rsidP="007834D2">
      <w:pPr>
        <w:rPr>
          <w:rFonts w:ascii="Calibri" w:hAnsi="Calibri" w:cs="Calibri"/>
          <w:color w:val="007BB8"/>
          <w:sz w:val="28"/>
          <w:szCs w:val="28"/>
        </w:rPr>
      </w:pPr>
      <w:r w:rsidRPr="005F33BB">
        <w:rPr>
          <w:rFonts w:ascii="Calibri" w:hAnsi="Calibri" w:cs="Calibri"/>
          <w:color w:val="007BB8"/>
          <w:sz w:val="28"/>
          <w:szCs w:val="28"/>
        </w:rPr>
        <w:t>Insight 4: Customer satisfaction is only average, not strong</w:t>
      </w:r>
    </w:p>
    <w:p w14:paraId="0E8AE80D" w14:textId="77777777" w:rsidR="007834D2" w:rsidRPr="007834D2" w:rsidRDefault="007834D2" w:rsidP="007834D2">
      <w:pPr>
        <w:rPr>
          <w:rFonts w:ascii="Calibri" w:hAnsi="Calibri" w:cs="Calibri"/>
          <w:color w:val="404040" w:themeColor="text1" w:themeTint="BF"/>
          <w:szCs w:val="22"/>
        </w:rPr>
      </w:pPr>
      <w:r w:rsidRPr="007834D2">
        <w:rPr>
          <w:rFonts w:ascii="Calibri" w:hAnsi="Calibri" w:cs="Calibri"/>
          <w:color w:val="404040" w:themeColor="text1" w:themeTint="BF"/>
          <w:szCs w:val="22"/>
        </w:rPr>
        <w:t>The average satisfaction score is 3.20 out of 5, which is 64%.</w:t>
      </w:r>
    </w:p>
    <w:p w14:paraId="01F4EB0E" w14:textId="70B553FF" w:rsidR="007834D2" w:rsidRPr="007834D2" w:rsidRDefault="005F33BB" w:rsidP="007834D2">
      <w:pPr>
        <w:rPr>
          <w:rFonts w:ascii="Calibri" w:hAnsi="Calibri" w:cs="Calibri"/>
          <w:color w:val="404040" w:themeColor="text1" w:themeTint="BF"/>
          <w:szCs w:val="22"/>
        </w:rPr>
      </w:pPr>
      <w:proofErr w:type="gramStart"/>
      <w:r>
        <w:rPr>
          <w:rFonts w:ascii="Calibri" w:hAnsi="Calibri" w:cs="Calibri"/>
          <w:b/>
          <w:bCs/>
          <w:color w:val="404040" w:themeColor="text1" w:themeTint="BF"/>
          <w:szCs w:val="22"/>
        </w:rPr>
        <w:t>So</w:t>
      </w:r>
      <w:proofErr w:type="gramEnd"/>
      <w:r w:rsidR="007834D2" w:rsidRPr="007834D2">
        <w:rPr>
          <w:rFonts w:ascii="Calibri" w:hAnsi="Calibri" w:cs="Calibri"/>
          <w:b/>
          <w:bCs/>
          <w:color w:val="404040" w:themeColor="text1" w:themeTint="BF"/>
          <w:szCs w:val="22"/>
        </w:rPr>
        <w:t xml:space="preserve"> what: </w:t>
      </w:r>
      <w:r w:rsidR="007834D2" w:rsidRPr="007834D2">
        <w:rPr>
          <w:rFonts w:ascii="Calibri" w:hAnsi="Calibri" w:cs="Calibri"/>
          <w:color w:val="404040" w:themeColor="text1" w:themeTint="BF"/>
          <w:szCs w:val="22"/>
        </w:rPr>
        <w:t>There's clear room to improve service. It's worth checking whether low-satisfaction customers are the same ones churning. If they are, satisfaction becomes an early-warning signal for who might leave next.</w:t>
      </w:r>
    </w:p>
    <w:p w14:paraId="2BEA31A2" w14:textId="77777777" w:rsidR="007834D2" w:rsidRPr="005F33BB" w:rsidRDefault="007834D2" w:rsidP="007834D2">
      <w:pPr>
        <w:rPr>
          <w:rFonts w:ascii="Calibri" w:hAnsi="Calibri" w:cs="Calibri"/>
          <w:color w:val="007BB8"/>
          <w:sz w:val="28"/>
          <w:szCs w:val="28"/>
        </w:rPr>
      </w:pPr>
      <w:r w:rsidRPr="005F33BB">
        <w:rPr>
          <w:rFonts w:ascii="Calibri" w:hAnsi="Calibri" w:cs="Calibri"/>
          <w:color w:val="007BB8"/>
          <w:sz w:val="28"/>
          <w:szCs w:val="28"/>
        </w:rPr>
        <w:t>Insight 5: No single card tier stands out in size</w:t>
      </w:r>
    </w:p>
    <w:p w14:paraId="527EDA83" w14:textId="6DE7F1BC" w:rsidR="007834D2" w:rsidRPr="007834D2" w:rsidRDefault="007834D2" w:rsidP="007834D2">
      <w:pPr>
        <w:rPr>
          <w:rFonts w:ascii="Calibri" w:hAnsi="Calibri" w:cs="Calibri"/>
          <w:color w:val="404040" w:themeColor="text1" w:themeTint="BF"/>
          <w:szCs w:val="22"/>
        </w:rPr>
      </w:pPr>
      <w:r w:rsidRPr="007834D2">
        <w:rPr>
          <w:rFonts w:ascii="Calibri" w:hAnsi="Calibri" w:cs="Calibri"/>
          <w:color w:val="404040" w:themeColor="text1" w:themeTint="BF"/>
          <w:szCs w:val="22"/>
        </w:rPr>
        <w:t xml:space="preserve">Diamond, Gold, Platinum, and </w:t>
      </w:r>
      <w:r w:rsidR="005F33BB">
        <w:rPr>
          <w:rFonts w:ascii="Calibri" w:hAnsi="Calibri" w:cs="Calibri"/>
          <w:color w:val="404040" w:themeColor="text1" w:themeTint="BF"/>
          <w:szCs w:val="22"/>
        </w:rPr>
        <w:t>s</w:t>
      </w:r>
      <w:r w:rsidRPr="007834D2">
        <w:rPr>
          <w:rFonts w:ascii="Calibri" w:hAnsi="Calibri" w:cs="Calibri"/>
          <w:color w:val="404040" w:themeColor="text1" w:themeTint="BF"/>
          <w:szCs w:val="22"/>
        </w:rPr>
        <w:t>ilver cardholders are almost equally split, roughly 11,700 to 11,900 customers each. Only a small group of 1,494 has no card type recorded.</w:t>
      </w:r>
    </w:p>
    <w:p w14:paraId="6791A915" w14:textId="77777777" w:rsidR="007834D2" w:rsidRPr="007834D2" w:rsidRDefault="007834D2" w:rsidP="007834D2">
      <w:pPr>
        <w:rPr>
          <w:rFonts w:ascii="Calibri" w:hAnsi="Calibri" w:cs="Calibri"/>
          <w:color w:val="404040" w:themeColor="text1" w:themeTint="BF"/>
          <w:szCs w:val="22"/>
        </w:rPr>
      </w:pPr>
      <w:proofErr w:type="gramStart"/>
      <w:r w:rsidRPr="007834D2">
        <w:rPr>
          <w:rFonts w:ascii="Calibri" w:hAnsi="Calibri" w:cs="Calibri"/>
          <w:b/>
          <w:bCs/>
          <w:color w:val="404040" w:themeColor="text1" w:themeTint="BF"/>
          <w:szCs w:val="22"/>
        </w:rPr>
        <w:t>So</w:t>
      </w:r>
      <w:proofErr w:type="gramEnd"/>
      <w:r w:rsidRPr="007834D2">
        <w:rPr>
          <w:rFonts w:ascii="Calibri" w:hAnsi="Calibri" w:cs="Calibri"/>
          <w:b/>
          <w:bCs/>
          <w:color w:val="404040" w:themeColor="text1" w:themeTint="BF"/>
          <w:szCs w:val="22"/>
        </w:rPr>
        <w:t xml:space="preserve"> what: </w:t>
      </w:r>
      <w:r w:rsidRPr="007834D2">
        <w:rPr>
          <w:rFonts w:ascii="Calibri" w:hAnsi="Calibri" w:cs="Calibri"/>
          <w:color w:val="404040" w:themeColor="text1" w:themeTint="BF"/>
          <w:szCs w:val="22"/>
        </w:rPr>
        <w:t>Card tier alone is unlikely to be driving churn, since the groups are so evenly sized. It's still worth checking the churn rate within each tier separately, since headcount and churn rate are different questions.</w:t>
      </w:r>
    </w:p>
    <w:p w14:paraId="0D6F25A0" w14:textId="77777777" w:rsidR="007834D2" w:rsidRPr="007834D2" w:rsidRDefault="007834D2" w:rsidP="007834D2">
      <w:pPr>
        <w:rPr>
          <w:rFonts w:ascii="Calibri" w:hAnsi="Calibri" w:cs="Calibri"/>
          <w:color w:val="404040" w:themeColor="text1" w:themeTint="BF"/>
          <w:szCs w:val="22"/>
        </w:rPr>
      </w:pPr>
    </w:p>
    <w:p w14:paraId="21987DCA" w14:textId="77777777" w:rsidR="00920794" w:rsidRPr="007834D2" w:rsidRDefault="00920794">
      <w:pPr>
        <w:rPr>
          <w:rFonts w:ascii="Calibri" w:hAnsi="Calibri" w:cs="Calibri"/>
        </w:rPr>
      </w:pPr>
    </w:p>
    <w:sectPr w:rsidR="00920794" w:rsidRPr="007834D2" w:rsidSect="007834D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D2"/>
    <w:rsid w:val="005F33BB"/>
    <w:rsid w:val="007834D2"/>
    <w:rsid w:val="00920794"/>
    <w:rsid w:val="00B95EC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47B1"/>
  <w15:chartTrackingRefBased/>
  <w15:docId w15:val="{6AF603E3-A940-45F6-A504-6AF294E1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4D2"/>
    <w:rPr>
      <w:rFonts w:cs="Mangal"/>
    </w:rPr>
  </w:style>
  <w:style w:type="paragraph" w:styleId="Heading1">
    <w:name w:val="heading 1"/>
    <w:basedOn w:val="Normal"/>
    <w:next w:val="Normal"/>
    <w:link w:val="Heading1Char"/>
    <w:uiPriority w:val="9"/>
    <w:qFormat/>
    <w:rsid w:val="007834D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34D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834D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83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4D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34D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834D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83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4D2"/>
    <w:rPr>
      <w:rFonts w:eastAsiaTheme="majorEastAsia" w:cstheme="majorBidi"/>
      <w:color w:val="272727" w:themeColor="text1" w:themeTint="D8"/>
    </w:rPr>
  </w:style>
  <w:style w:type="paragraph" w:styleId="Title">
    <w:name w:val="Title"/>
    <w:basedOn w:val="Normal"/>
    <w:next w:val="Normal"/>
    <w:link w:val="TitleChar"/>
    <w:uiPriority w:val="10"/>
    <w:qFormat/>
    <w:rsid w:val="007834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34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34D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34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834D2"/>
    <w:pPr>
      <w:spacing w:before="160"/>
      <w:jc w:val="center"/>
    </w:pPr>
    <w:rPr>
      <w:i/>
      <w:iCs/>
      <w:color w:val="404040" w:themeColor="text1" w:themeTint="BF"/>
    </w:rPr>
  </w:style>
  <w:style w:type="character" w:customStyle="1" w:styleId="QuoteChar">
    <w:name w:val="Quote Char"/>
    <w:basedOn w:val="DefaultParagraphFont"/>
    <w:link w:val="Quote"/>
    <w:uiPriority w:val="29"/>
    <w:rsid w:val="007834D2"/>
    <w:rPr>
      <w:rFonts w:cs="Mangal"/>
      <w:i/>
      <w:iCs/>
      <w:color w:val="404040" w:themeColor="text1" w:themeTint="BF"/>
    </w:rPr>
  </w:style>
  <w:style w:type="paragraph" w:styleId="ListParagraph">
    <w:name w:val="List Paragraph"/>
    <w:basedOn w:val="Normal"/>
    <w:uiPriority w:val="34"/>
    <w:qFormat/>
    <w:rsid w:val="007834D2"/>
    <w:pPr>
      <w:ind w:left="720"/>
      <w:contextualSpacing/>
    </w:pPr>
  </w:style>
  <w:style w:type="character" w:styleId="IntenseEmphasis">
    <w:name w:val="Intense Emphasis"/>
    <w:basedOn w:val="DefaultParagraphFont"/>
    <w:uiPriority w:val="21"/>
    <w:qFormat/>
    <w:rsid w:val="007834D2"/>
    <w:rPr>
      <w:i/>
      <w:iCs/>
      <w:color w:val="0F4761" w:themeColor="accent1" w:themeShade="BF"/>
    </w:rPr>
  </w:style>
  <w:style w:type="paragraph" w:styleId="IntenseQuote">
    <w:name w:val="Intense Quote"/>
    <w:basedOn w:val="Normal"/>
    <w:next w:val="Normal"/>
    <w:link w:val="IntenseQuoteChar"/>
    <w:uiPriority w:val="30"/>
    <w:qFormat/>
    <w:rsid w:val="0078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4D2"/>
    <w:rPr>
      <w:rFonts w:cs="Mangal"/>
      <w:i/>
      <w:iCs/>
      <w:color w:val="0F4761" w:themeColor="accent1" w:themeShade="BF"/>
    </w:rPr>
  </w:style>
  <w:style w:type="character" w:styleId="IntenseReference">
    <w:name w:val="Intense Reference"/>
    <w:basedOn w:val="DefaultParagraphFont"/>
    <w:uiPriority w:val="32"/>
    <w:qFormat/>
    <w:rsid w:val="00783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kumar</dc:creator>
  <cp:keywords/>
  <dc:description/>
  <cp:lastModifiedBy>vicky kumar</cp:lastModifiedBy>
  <cp:revision>1</cp:revision>
  <dcterms:created xsi:type="dcterms:W3CDTF">2026-09-01T10:00:00Z</dcterms:created>
  <dcterms:modified xsi:type="dcterms:W3CDTF">2026-09-01T10:17:00Z</dcterms:modified>
</cp:coreProperties>
</file>