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E19D" w14:textId="004E253E" w:rsidR="009400DB" w:rsidRDefault="009400DB" w:rsidP="009400DB">
      <w:pPr>
        <w:rPr>
          <w:rFonts w:ascii="Calibri" w:hAnsi="Calibri" w:cs="Calibri"/>
          <w:b/>
          <w:bCs/>
          <w:color w:val="004F88"/>
          <w:sz w:val="40"/>
          <w:szCs w:val="36"/>
        </w:rPr>
      </w:pPr>
      <w:r>
        <w:rPr>
          <w:rFonts w:ascii="Calibri" w:hAnsi="Calibri" w:cs="Calibri"/>
          <w:b/>
          <w:bCs/>
          <w:color w:val="004F88"/>
          <w:sz w:val="40"/>
          <w:szCs w:val="36"/>
        </w:rPr>
        <w:t>Bank Customer Churn</w:t>
      </w:r>
      <w:r w:rsidRPr="00522877">
        <w:rPr>
          <w:rFonts w:ascii="Calibri" w:hAnsi="Calibri" w:cs="Calibri"/>
          <w:b/>
          <w:bCs/>
          <w:color w:val="004F88"/>
          <w:sz w:val="40"/>
          <w:szCs w:val="36"/>
        </w:rPr>
        <w:t xml:space="preserve"> Analysis Dashboard</w:t>
      </w:r>
    </w:p>
    <w:p w14:paraId="0F191D47" w14:textId="77777777" w:rsidR="009400DB" w:rsidRPr="00522877" w:rsidRDefault="009400DB" w:rsidP="009400DB">
      <w:pPr>
        <w:rPr>
          <w:rFonts w:ascii="Calibri" w:hAnsi="Calibri" w:cs="Calibri"/>
          <w:b/>
          <w:bCs/>
          <w:color w:val="004F88"/>
          <w:sz w:val="40"/>
          <w:szCs w:val="36"/>
        </w:rPr>
      </w:pPr>
      <w:r w:rsidRPr="00522877">
        <w:rPr>
          <w:rFonts w:ascii="Calibri" w:hAnsi="Calibri" w:cs="Calibri"/>
          <w:color w:val="595959" w:themeColor="text1" w:themeTint="A6"/>
          <w:sz w:val="32"/>
          <w:szCs w:val="28"/>
        </w:rPr>
        <w:t>Business Analysis Report</w:t>
      </w:r>
    </w:p>
    <w:p w14:paraId="5184ED15" w14:textId="44ED2DD4" w:rsidR="009400DB" w:rsidRPr="00522877" w:rsidRDefault="009400DB" w:rsidP="009400DB">
      <w:pPr>
        <w:rPr>
          <w:rFonts w:ascii="Calibri" w:hAnsi="Calibri" w:cs="Calibri"/>
          <w:b/>
          <w:bCs/>
          <w:color w:val="747474" w:themeColor="background2" w:themeShade="80"/>
        </w:rPr>
      </w:pPr>
      <w:r w:rsidRPr="00522877">
        <w:rPr>
          <w:rFonts w:ascii="Calibri" w:hAnsi="Calibri" w:cs="Calibri"/>
          <w:b/>
          <w:bCs/>
          <w:color w:val="747474" w:themeColor="background2" w:themeShade="80"/>
        </w:rPr>
        <w:t xml:space="preserve">Prepared by: Vicky Kumar / </w:t>
      </w:r>
      <w:r w:rsidRPr="009400DB">
        <w:rPr>
          <w:rFonts w:ascii="Calibri" w:hAnsi="Calibri" w:cs="Calibri"/>
          <w:b/>
          <w:bCs/>
          <w:color w:val="747474" w:themeColor="background2" w:themeShade="80"/>
        </w:rPr>
        <w:t>Dataset: Bank Customer Churn Dataset — Kaggle-based, synthetically dirtied, 48,730 customer records</w:t>
      </w:r>
    </w:p>
    <w:p w14:paraId="0FE6F95B" w14:textId="77777777" w:rsidR="009400DB" w:rsidRPr="00522877" w:rsidRDefault="009400DB" w:rsidP="009400DB">
      <w:pPr>
        <w:pBdr>
          <w:bottom w:val="single" w:sz="4" w:space="1" w:color="auto"/>
        </w:pBdr>
        <w:rPr>
          <w:rFonts w:ascii="Calibri" w:hAnsi="Calibri" w:cs="Calibri"/>
          <w:color w:val="004E9A"/>
          <w:sz w:val="28"/>
          <w:szCs w:val="24"/>
        </w:rPr>
      </w:pPr>
      <w:r w:rsidRPr="00522877">
        <w:rPr>
          <w:rFonts w:ascii="Calibri" w:hAnsi="Calibri" w:cs="Calibri"/>
          <w:b/>
          <w:bCs/>
          <w:color w:val="004E9A"/>
          <w:sz w:val="28"/>
          <w:szCs w:val="24"/>
        </w:rPr>
        <w:t>1</w:t>
      </w:r>
      <w:r>
        <w:rPr>
          <w:rFonts w:ascii="Calibri" w:hAnsi="Calibri" w:cs="Calibri"/>
          <w:b/>
          <w:bCs/>
          <w:color w:val="004E9A"/>
          <w:sz w:val="28"/>
          <w:szCs w:val="24"/>
        </w:rPr>
        <w:t>.</w:t>
      </w:r>
      <w:r w:rsidRPr="00522877">
        <w:rPr>
          <w:rFonts w:ascii="Calibri" w:hAnsi="Calibri" w:cs="Calibri"/>
          <w:b/>
          <w:bCs/>
          <w:color w:val="004E9A"/>
          <w:sz w:val="28"/>
          <w:szCs w:val="24"/>
        </w:rPr>
        <w:t xml:space="preserve"> Objective:</w:t>
      </w:r>
    </w:p>
    <w:p w14:paraId="5178E463" w14:textId="77777777" w:rsidR="009400DB" w:rsidRPr="009400DB" w:rsidRDefault="009400DB" w:rsidP="009400DB">
      <w:pPr>
        <w:rPr>
          <w:rFonts w:ascii="Calibri" w:hAnsi="Calibri" w:cs="Calibri"/>
          <w:color w:val="404040" w:themeColor="text1" w:themeTint="BF"/>
        </w:rPr>
      </w:pPr>
      <w:r w:rsidRPr="009400DB">
        <w:rPr>
          <w:rFonts w:ascii="Calibri" w:hAnsi="Calibri" w:cs="Calibri"/>
          <w:color w:val="404040" w:themeColor="text1" w:themeTint="BF"/>
        </w:rPr>
        <w:t>This project analyzes a bank customer churn dataset to identify the key drivers of customer attrition, transforming raw customer-level data into an interactive Excel dashboard for churn monitoring. The goal was to practice SQL-based data cleaning and transformation, KPI design, pivot table analysis, and dashboard design skills relevant to a data analytics role.</w:t>
      </w:r>
    </w:p>
    <w:p w14:paraId="60448879" w14:textId="77777777" w:rsidR="009400DB" w:rsidRDefault="009400DB" w:rsidP="009400DB">
      <w:pPr>
        <w:rPr>
          <w:rFonts w:ascii="Calibri" w:hAnsi="Calibri" w:cs="Calibri"/>
          <w:color w:val="404040" w:themeColor="text1" w:themeTint="BF"/>
        </w:rPr>
      </w:pPr>
    </w:p>
    <w:p w14:paraId="66A94933" w14:textId="77777777" w:rsidR="009400DB" w:rsidRPr="009400DB" w:rsidRDefault="009400DB" w:rsidP="009400DB">
      <w:pPr>
        <w:pBdr>
          <w:bottom w:val="single" w:sz="4" w:space="1" w:color="auto"/>
        </w:pBdr>
        <w:rPr>
          <w:rFonts w:ascii="Calibri" w:hAnsi="Calibri" w:cs="Calibri"/>
          <w:b/>
          <w:bCs/>
          <w:color w:val="004E9A"/>
          <w:sz w:val="28"/>
          <w:szCs w:val="24"/>
        </w:rPr>
      </w:pPr>
      <w:r w:rsidRPr="009400DB">
        <w:rPr>
          <w:rFonts w:ascii="Calibri" w:hAnsi="Calibri" w:cs="Calibri"/>
          <w:b/>
          <w:bCs/>
          <w:color w:val="004E9A"/>
          <w:sz w:val="28"/>
          <w:szCs w:val="24"/>
        </w:rPr>
        <w:t>2. Data Quality Issues:</w:t>
      </w:r>
    </w:p>
    <w:p w14:paraId="076A119B" w14:textId="77777777" w:rsidR="009400DB" w:rsidRPr="009400DB" w:rsidRDefault="009400DB" w:rsidP="009400DB">
      <w:pPr>
        <w:numPr>
          <w:ilvl w:val="0"/>
          <w:numId w:val="2"/>
        </w:numPr>
        <w:rPr>
          <w:rFonts w:ascii="Calibri" w:hAnsi="Calibri" w:cs="Calibri"/>
          <w:color w:val="404040" w:themeColor="text1" w:themeTint="BF"/>
        </w:rPr>
      </w:pPr>
      <w:r w:rsidRPr="009400DB">
        <w:rPr>
          <w:rFonts w:ascii="Calibri" w:hAnsi="Calibri" w:cs="Calibri"/>
          <w:color w:val="404040" w:themeColor="text1" w:themeTint="BF"/>
        </w:rPr>
        <w:t>Geography, Gender, Card Type, and Account Type fields had inconsistent, messy category labels that needed standardizing before analysis.</w:t>
      </w:r>
    </w:p>
    <w:p w14:paraId="0B322640" w14:textId="77777777" w:rsidR="009400DB" w:rsidRPr="009400DB" w:rsidRDefault="009400DB" w:rsidP="009400DB">
      <w:pPr>
        <w:numPr>
          <w:ilvl w:val="0"/>
          <w:numId w:val="2"/>
        </w:numPr>
        <w:rPr>
          <w:rFonts w:ascii="Calibri" w:hAnsi="Calibri" w:cs="Calibri"/>
          <w:color w:val="404040" w:themeColor="text1" w:themeTint="BF"/>
        </w:rPr>
      </w:pPr>
      <w:r w:rsidRPr="009400DB">
        <w:rPr>
          <w:rFonts w:ascii="Calibri" w:hAnsi="Calibri" w:cs="Calibri"/>
          <w:color w:val="404040" w:themeColor="text1" w:themeTint="BF"/>
        </w:rPr>
        <w:t>Last Transaction Date had mixed date formats, and a portion of records had it missing entirely rather than just malformed.</w:t>
      </w:r>
    </w:p>
    <w:p w14:paraId="1DF22EE8" w14:textId="77777777" w:rsidR="009400DB" w:rsidRPr="009400DB" w:rsidRDefault="009400DB" w:rsidP="009400DB">
      <w:pPr>
        <w:numPr>
          <w:ilvl w:val="0"/>
          <w:numId w:val="2"/>
        </w:numPr>
        <w:rPr>
          <w:rFonts w:ascii="Calibri" w:hAnsi="Calibri" w:cs="Calibri"/>
          <w:color w:val="404040" w:themeColor="text1" w:themeTint="BF"/>
        </w:rPr>
      </w:pPr>
      <w:r w:rsidRPr="009400DB">
        <w:rPr>
          <w:rFonts w:ascii="Calibri" w:hAnsi="Calibri" w:cs="Calibri"/>
          <w:color w:val="404040" w:themeColor="text1" w:themeTint="BF"/>
        </w:rPr>
        <w:t>Duplicate records were present and needed to be identified and removed.</w:t>
      </w:r>
    </w:p>
    <w:p w14:paraId="6EFE42F6" w14:textId="77777777" w:rsidR="009400DB" w:rsidRPr="009400DB" w:rsidRDefault="009400DB" w:rsidP="009400DB">
      <w:pPr>
        <w:numPr>
          <w:ilvl w:val="0"/>
          <w:numId w:val="2"/>
        </w:numPr>
        <w:rPr>
          <w:rFonts w:ascii="Calibri" w:hAnsi="Calibri" w:cs="Calibri"/>
          <w:color w:val="404040" w:themeColor="text1" w:themeTint="BF"/>
        </w:rPr>
      </w:pPr>
      <w:r w:rsidRPr="009400DB">
        <w:rPr>
          <w:rFonts w:ascii="Calibri" w:hAnsi="Calibri" w:cs="Calibri"/>
          <w:color w:val="404040" w:themeColor="text1" w:themeTint="BF"/>
        </w:rPr>
        <w:t>Outlier values were present in fields such as Age and Balance.</w:t>
      </w:r>
    </w:p>
    <w:p w14:paraId="2B5BB88D" w14:textId="77777777" w:rsidR="009400DB" w:rsidRPr="009400DB" w:rsidRDefault="009400DB" w:rsidP="009400DB">
      <w:pPr>
        <w:numPr>
          <w:ilvl w:val="0"/>
          <w:numId w:val="2"/>
        </w:numPr>
        <w:rPr>
          <w:rFonts w:ascii="Calibri" w:hAnsi="Calibri" w:cs="Calibri"/>
          <w:color w:val="404040" w:themeColor="text1" w:themeTint="BF"/>
        </w:rPr>
      </w:pPr>
      <w:r w:rsidRPr="009400DB">
        <w:rPr>
          <w:rFonts w:ascii="Calibri" w:hAnsi="Calibri" w:cs="Calibri"/>
          <w:color w:val="404040" w:themeColor="text1" w:themeTint="BF"/>
        </w:rPr>
        <w:t>No pre-built risk segmentation existed in the raw data — Age Band, Balance Band, and a High Churn Risk Flag all had to be derived.</w:t>
      </w:r>
    </w:p>
    <w:p w14:paraId="78C3C353" w14:textId="77777777" w:rsidR="009400DB" w:rsidRPr="009400DB" w:rsidRDefault="009400DB" w:rsidP="009400DB">
      <w:pPr>
        <w:pBdr>
          <w:bottom w:val="single" w:sz="4" w:space="1" w:color="auto"/>
        </w:pBdr>
        <w:rPr>
          <w:rFonts w:ascii="Calibri" w:hAnsi="Calibri" w:cs="Calibri"/>
          <w:b/>
          <w:bCs/>
          <w:color w:val="004E9A"/>
          <w:sz w:val="28"/>
          <w:szCs w:val="24"/>
        </w:rPr>
      </w:pPr>
      <w:r w:rsidRPr="009400DB">
        <w:rPr>
          <w:rFonts w:ascii="Calibri" w:hAnsi="Calibri" w:cs="Calibri"/>
          <w:b/>
          <w:bCs/>
          <w:color w:val="004E9A"/>
          <w:sz w:val="28"/>
          <w:szCs w:val="24"/>
        </w:rPr>
        <w:t>3. Methodology:</w:t>
      </w:r>
    </w:p>
    <w:p w14:paraId="092939A5" w14:textId="4051C6B3" w:rsidR="009400DB" w:rsidRPr="009400DB" w:rsidRDefault="009400DB" w:rsidP="009400DB">
      <w:pPr>
        <w:rPr>
          <w:rFonts w:ascii="Calibri" w:hAnsi="Calibri" w:cs="Calibri"/>
          <w:color w:val="404040" w:themeColor="text1" w:themeTint="BF"/>
        </w:rPr>
      </w:pPr>
      <w:r w:rsidRPr="009400DB">
        <w:rPr>
          <w:rFonts w:ascii="Calibri" w:hAnsi="Calibri" w:cs="Calibri"/>
          <w:color w:val="404040" w:themeColor="text1" w:themeTint="BF"/>
        </w:rPr>
        <w:t>Raw data was cleaned and transformed in SQL Server Management Studio (SSMS). Duplicate rows were identified using ROW</w:t>
      </w:r>
      <w:r>
        <w:rPr>
          <w:rFonts w:ascii="Calibri" w:hAnsi="Calibri" w:cs="Calibri"/>
          <w:color w:val="404040" w:themeColor="text1" w:themeTint="BF"/>
        </w:rPr>
        <w:t xml:space="preserve"> </w:t>
      </w:r>
      <w:r w:rsidRPr="009400DB">
        <w:rPr>
          <w:rFonts w:ascii="Calibri" w:hAnsi="Calibri" w:cs="Calibri"/>
          <w:color w:val="404040" w:themeColor="text1" w:themeTint="BF"/>
        </w:rPr>
        <w:t>NUMBER</w:t>
      </w:r>
      <w:r>
        <w:rPr>
          <w:rFonts w:ascii="Calibri" w:hAnsi="Calibri" w:cs="Calibri"/>
          <w:color w:val="404040" w:themeColor="text1" w:themeTint="BF"/>
        </w:rPr>
        <w:t xml:space="preserve"> </w:t>
      </w:r>
      <w:r w:rsidRPr="009400DB">
        <w:rPr>
          <w:rFonts w:ascii="Calibri" w:hAnsi="Calibri" w:cs="Calibri"/>
          <w:color w:val="404040" w:themeColor="text1" w:themeTint="BF"/>
        </w:rPr>
        <w:t>() and removed. Outlier values in Age and Balance were flagged rather than deleted, preserving them transparently rather than silently dropping records. Last Transaction Date was parsed into a clean date field, and where the date could not be recovered, it was left as null and marked with a separate Last Transaction Missing Flag instead of being filled with a placeholder, since averaging or guessing a date would have distorted any recency-based analysis. Geography, Gender, Card Type, and Account Type were standardized into clean categorical fields, with unrecognized entries grouped as "Unknown" rather than discarded. A clean analysis table, churn</w:t>
      </w:r>
      <w:r>
        <w:rPr>
          <w:rFonts w:ascii="Calibri" w:hAnsi="Calibri" w:cs="Calibri"/>
          <w:color w:val="404040" w:themeColor="text1" w:themeTint="BF"/>
        </w:rPr>
        <w:t xml:space="preserve"> </w:t>
      </w:r>
      <w:r w:rsidRPr="009400DB">
        <w:rPr>
          <w:rFonts w:ascii="Calibri" w:hAnsi="Calibri" w:cs="Calibri"/>
          <w:color w:val="404040" w:themeColor="text1" w:themeTint="BF"/>
        </w:rPr>
        <w:t>cleaned, was then built with derived fields — Age Band, Balance Band, and High Churn Risk Flag. Ten KPIs were calculated in Excel via pivot tables, validated against equivalent SQL aggregate queries, and assembled into a single interactive dashboard with a left-hand navigation sidebar, KPI cards, charts, and a slicer-based filter panel (Gender, Geography, Card Type, Account Type).</w:t>
      </w:r>
    </w:p>
    <w:p w14:paraId="73F55A2A" w14:textId="77777777" w:rsidR="009400DB" w:rsidRDefault="009400DB" w:rsidP="009400DB">
      <w:pPr>
        <w:rPr>
          <w:rFonts w:ascii="Calibri" w:hAnsi="Calibri" w:cs="Calibri"/>
          <w:b/>
          <w:bCs/>
          <w:color w:val="004E9A"/>
          <w:sz w:val="28"/>
          <w:szCs w:val="24"/>
        </w:rPr>
      </w:pPr>
    </w:p>
    <w:p w14:paraId="22447608" w14:textId="77777777" w:rsidR="009400DB" w:rsidRDefault="009400DB" w:rsidP="009400DB">
      <w:pPr>
        <w:rPr>
          <w:rFonts w:ascii="Calibri" w:hAnsi="Calibri" w:cs="Calibri"/>
          <w:b/>
          <w:bCs/>
          <w:color w:val="004E9A"/>
          <w:sz w:val="28"/>
          <w:szCs w:val="24"/>
        </w:rPr>
      </w:pPr>
    </w:p>
    <w:p w14:paraId="7EF0B554" w14:textId="77777777" w:rsidR="009400DB" w:rsidRDefault="009400DB" w:rsidP="009400DB">
      <w:pPr>
        <w:rPr>
          <w:rFonts w:ascii="Calibri" w:hAnsi="Calibri" w:cs="Calibri"/>
          <w:b/>
          <w:bCs/>
          <w:color w:val="004E9A"/>
          <w:sz w:val="28"/>
          <w:szCs w:val="24"/>
        </w:rPr>
      </w:pPr>
    </w:p>
    <w:p w14:paraId="0D953767" w14:textId="3770D6E4" w:rsidR="009400DB" w:rsidRPr="009400DB" w:rsidRDefault="009400DB" w:rsidP="00F45682">
      <w:pPr>
        <w:pBdr>
          <w:bottom w:val="single" w:sz="4" w:space="1" w:color="auto"/>
        </w:pBdr>
        <w:rPr>
          <w:rFonts w:ascii="Calibri" w:hAnsi="Calibri" w:cs="Calibri"/>
          <w:b/>
          <w:bCs/>
          <w:color w:val="004E9A"/>
          <w:sz w:val="28"/>
          <w:szCs w:val="24"/>
        </w:rPr>
      </w:pPr>
      <w:r w:rsidRPr="009400DB">
        <w:rPr>
          <w:rFonts w:ascii="Calibri" w:hAnsi="Calibri" w:cs="Calibri"/>
          <w:b/>
          <w:bCs/>
          <w:color w:val="004E9A"/>
          <w:sz w:val="28"/>
          <w:szCs w:val="24"/>
        </w:rPr>
        <w:lastRenderedPageBreak/>
        <w:t>4. Dashboard Screenshot:</w:t>
      </w:r>
    </w:p>
    <w:p w14:paraId="40CCA508" w14:textId="28350399" w:rsidR="00920794" w:rsidRDefault="009400DB">
      <w:pPr>
        <w:rPr>
          <w:rFonts w:ascii="Calibri" w:hAnsi="Calibri" w:cs="Calibri"/>
        </w:rPr>
      </w:pPr>
      <w:r>
        <w:rPr>
          <w:rFonts w:ascii="Calibri" w:hAnsi="Calibri" w:cs="Calibri"/>
          <w:noProof/>
        </w:rPr>
        <w:drawing>
          <wp:inline distT="0" distB="0" distL="0" distR="0" wp14:anchorId="14D7DCED" wp14:editId="62A2CE18">
            <wp:extent cx="5731510" cy="2785110"/>
            <wp:effectExtent l="0" t="0" r="2540" b="0"/>
            <wp:docPr id="1411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0587" name="Picture 1411905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inline>
        </w:drawing>
      </w:r>
    </w:p>
    <w:p w14:paraId="77F83C32" w14:textId="77777777" w:rsidR="00F45682" w:rsidRPr="00F45682" w:rsidRDefault="00F45682" w:rsidP="00F45682">
      <w:pPr>
        <w:pBdr>
          <w:bottom w:val="single" w:sz="4" w:space="1" w:color="auto"/>
        </w:pBdr>
        <w:rPr>
          <w:rFonts w:ascii="Calibri" w:hAnsi="Calibri" w:cs="Calibri"/>
          <w:b/>
          <w:bCs/>
          <w:color w:val="004E9A"/>
          <w:sz w:val="28"/>
          <w:szCs w:val="24"/>
        </w:rPr>
      </w:pPr>
      <w:r w:rsidRPr="00F45682">
        <w:rPr>
          <w:rFonts w:ascii="Calibri" w:hAnsi="Calibri" w:cs="Calibri"/>
          <w:b/>
          <w:bCs/>
          <w:color w:val="004E9A"/>
          <w:sz w:val="28"/>
          <w:szCs w:val="24"/>
        </w:rPr>
        <w:t>5. Key Findings:</w:t>
      </w:r>
    </w:p>
    <w:p w14:paraId="5BF6D4AD" w14:textId="77777777" w:rsidR="00F45682" w:rsidRPr="00F45682" w:rsidRDefault="00F45682" w:rsidP="00F45682">
      <w:pPr>
        <w:rPr>
          <w:rFonts w:ascii="Calibri" w:hAnsi="Calibri" w:cs="Calibri"/>
          <w:color w:val="007BB8"/>
          <w:sz w:val="24"/>
          <w:szCs w:val="24"/>
        </w:rPr>
      </w:pPr>
      <w:r w:rsidRPr="00F45682">
        <w:rPr>
          <w:rFonts w:ascii="Calibri" w:hAnsi="Calibri" w:cs="Calibri"/>
          <w:color w:val="007BB8"/>
          <w:sz w:val="24"/>
          <w:szCs w:val="24"/>
        </w:rPr>
        <w:t>Insight 1: Churn doesn't change much across common factors</w:t>
      </w:r>
    </w:p>
    <w:p w14:paraId="2749CE96" w14:textId="77777777" w:rsidR="00F45682" w:rsidRPr="007834D2" w:rsidRDefault="00F45682" w:rsidP="00F45682">
      <w:pPr>
        <w:rPr>
          <w:rFonts w:ascii="Calibri" w:hAnsi="Calibri" w:cs="Calibri"/>
          <w:color w:val="404040" w:themeColor="text1" w:themeTint="BF"/>
          <w:szCs w:val="22"/>
        </w:rPr>
      </w:pPr>
      <w:r w:rsidRPr="007834D2">
        <w:rPr>
          <w:rFonts w:ascii="Calibri" w:hAnsi="Calibri" w:cs="Calibri"/>
          <w:color w:val="404040" w:themeColor="text1" w:themeTint="BF"/>
          <w:szCs w:val="22"/>
        </w:rPr>
        <w:t>Churn rate stays around 19–21% no matter which country (France 20.09%, Germany 20.69%, Spain 20.91%), age group (under 30: 20.66%, 60+: 19.06%), or account type (Current 20.38%, Savings 20.78%) you look at.</w:t>
      </w:r>
    </w:p>
    <w:p w14:paraId="55870CE2" w14:textId="77777777" w:rsidR="00F45682" w:rsidRDefault="00F45682" w:rsidP="00F45682">
      <w:pPr>
        <w:rPr>
          <w:rFonts w:ascii="Calibri" w:hAnsi="Calibri" w:cs="Calibri"/>
          <w:color w:val="404040" w:themeColor="text1" w:themeTint="BF"/>
          <w:szCs w:val="22"/>
        </w:rPr>
      </w:pPr>
      <w:proofErr w:type="gramStart"/>
      <w:r w:rsidRPr="007834D2">
        <w:rPr>
          <w:rFonts w:ascii="Calibri" w:hAnsi="Calibri" w:cs="Calibri"/>
          <w:b/>
          <w:bCs/>
          <w:color w:val="262626" w:themeColor="text1" w:themeTint="D9"/>
          <w:szCs w:val="22"/>
        </w:rPr>
        <w:t>So</w:t>
      </w:r>
      <w:proofErr w:type="gramEnd"/>
      <w:r w:rsidRPr="007834D2">
        <w:rPr>
          <w:rFonts w:ascii="Calibri" w:hAnsi="Calibri" w:cs="Calibri"/>
          <w:b/>
          <w:bCs/>
          <w:color w:val="262626" w:themeColor="text1" w:themeTint="D9"/>
          <w:szCs w:val="22"/>
        </w:rPr>
        <w:t xml:space="preserve"> what:</w:t>
      </w:r>
      <w:r w:rsidRPr="007834D2">
        <w:rPr>
          <w:rFonts w:ascii="Calibri" w:hAnsi="Calibri" w:cs="Calibri"/>
          <w:b/>
          <w:bCs/>
          <w:color w:val="007BB8"/>
          <w:sz w:val="28"/>
          <w:szCs w:val="28"/>
        </w:rPr>
        <w:t xml:space="preserve"> </w:t>
      </w:r>
      <w:r w:rsidRPr="007834D2">
        <w:rPr>
          <w:rFonts w:ascii="Calibri" w:hAnsi="Calibri" w:cs="Calibri"/>
          <w:color w:val="404040" w:themeColor="text1" w:themeTint="BF"/>
          <w:szCs w:val="22"/>
        </w:rPr>
        <w:t xml:space="preserve">Geography, age, and account type don't explain who leaves. The bank needs to look at </w:t>
      </w:r>
      <w:proofErr w:type="spellStart"/>
      <w:r w:rsidRPr="007834D2">
        <w:rPr>
          <w:rFonts w:ascii="Calibri" w:hAnsi="Calibri" w:cs="Calibri"/>
          <w:color w:val="404040" w:themeColor="text1" w:themeTint="BF"/>
          <w:szCs w:val="22"/>
        </w:rPr>
        <w:t>behaviour</w:t>
      </w:r>
      <w:proofErr w:type="spellEnd"/>
      <w:r w:rsidRPr="007834D2">
        <w:rPr>
          <w:rFonts w:ascii="Calibri" w:hAnsi="Calibri" w:cs="Calibri"/>
          <w:color w:val="404040" w:themeColor="text1" w:themeTint="BF"/>
          <w:szCs w:val="22"/>
        </w:rPr>
        <w:t xml:space="preserve"> data, like activity level, complaints, or satisfaction score, to find the real reason customer churn.</w:t>
      </w:r>
    </w:p>
    <w:p w14:paraId="39062360" w14:textId="77777777" w:rsidR="00F45682" w:rsidRPr="00F45682" w:rsidRDefault="00F45682" w:rsidP="00F45682">
      <w:pPr>
        <w:rPr>
          <w:rFonts w:ascii="Calibri" w:hAnsi="Calibri" w:cs="Calibri"/>
          <w:color w:val="007BB8"/>
          <w:sz w:val="24"/>
          <w:szCs w:val="24"/>
        </w:rPr>
      </w:pPr>
      <w:r w:rsidRPr="00F45682">
        <w:rPr>
          <w:rFonts w:ascii="Calibri" w:hAnsi="Calibri" w:cs="Calibri"/>
          <w:color w:val="007BB8"/>
          <w:sz w:val="24"/>
          <w:szCs w:val="24"/>
        </w:rPr>
        <w:t>Insight 2: About 1 in every 5 customers has left the bank</w:t>
      </w:r>
    </w:p>
    <w:p w14:paraId="3B87FB95" w14:textId="77777777" w:rsidR="00F45682" w:rsidRPr="007834D2" w:rsidRDefault="00F45682" w:rsidP="00F45682">
      <w:pPr>
        <w:rPr>
          <w:rFonts w:ascii="Calibri" w:hAnsi="Calibri" w:cs="Calibri"/>
          <w:color w:val="404040" w:themeColor="text1" w:themeTint="BF"/>
          <w:szCs w:val="22"/>
        </w:rPr>
      </w:pPr>
      <w:r w:rsidRPr="007834D2">
        <w:rPr>
          <w:rFonts w:ascii="Calibri" w:hAnsi="Calibri" w:cs="Calibri"/>
          <w:color w:val="404040" w:themeColor="text1" w:themeTint="BF"/>
          <w:szCs w:val="22"/>
        </w:rPr>
        <w:t>Out of 48,730 customers, 10,014 have churned. That's 21%, which is high for a bank. A healthy churn rate is usually 5–10%.</w:t>
      </w:r>
    </w:p>
    <w:p w14:paraId="6ACB5792" w14:textId="77777777" w:rsidR="00F45682" w:rsidRPr="007834D2" w:rsidRDefault="00F45682" w:rsidP="00F45682">
      <w:pPr>
        <w:rPr>
          <w:rFonts w:ascii="Calibri" w:hAnsi="Calibri" w:cs="Calibri"/>
          <w:color w:val="404040" w:themeColor="text1" w:themeTint="BF"/>
          <w:szCs w:val="22"/>
        </w:rPr>
      </w:pPr>
      <w:proofErr w:type="gramStart"/>
      <w:r w:rsidRPr="005F33BB">
        <w:rPr>
          <w:rFonts w:ascii="Calibri" w:hAnsi="Calibri" w:cs="Calibri"/>
          <w:b/>
          <w:bCs/>
          <w:color w:val="262626" w:themeColor="text1" w:themeTint="D9"/>
          <w:szCs w:val="22"/>
        </w:rPr>
        <w:t>So</w:t>
      </w:r>
      <w:proofErr w:type="gramEnd"/>
      <w:r w:rsidRPr="005F33BB">
        <w:rPr>
          <w:rFonts w:ascii="Calibri" w:hAnsi="Calibri" w:cs="Calibri"/>
          <w:b/>
          <w:bCs/>
          <w:color w:val="262626" w:themeColor="text1" w:themeTint="D9"/>
          <w:szCs w:val="22"/>
        </w:rPr>
        <w:t xml:space="preserve"> what:</w:t>
      </w:r>
      <w:r w:rsidRPr="007834D2">
        <w:rPr>
          <w:rFonts w:ascii="Calibri" w:hAnsi="Calibri" w:cs="Calibri"/>
          <w:b/>
          <w:bCs/>
          <w:color w:val="404040" w:themeColor="text1" w:themeTint="BF"/>
          <w:szCs w:val="22"/>
        </w:rPr>
        <w:t xml:space="preserve"> </w:t>
      </w:r>
      <w:r w:rsidRPr="007834D2">
        <w:rPr>
          <w:rFonts w:ascii="Calibri" w:hAnsi="Calibri" w:cs="Calibri"/>
          <w:color w:val="404040" w:themeColor="text1" w:themeTint="BF"/>
          <w:szCs w:val="22"/>
        </w:rPr>
        <w:t>This isn't a small, isolated problem. Retention needs to become a bank-wide priority, not just a fix for one group of customers.</w:t>
      </w:r>
    </w:p>
    <w:p w14:paraId="15EB7114" w14:textId="77777777" w:rsidR="00F45682" w:rsidRPr="00F45682" w:rsidRDefault="00F45682" w:rsidP="00F45682">
      <w:pPr>
        <w:rPr>
          <w:rFonts w:ascii="Calibri" w:hAnsi="Calibri" w:cs="Calibri"/>
          <w:color w:val="007BB8"/>
          <w:sz w:val="24"/>
          <w:szCs w:val="24"/>
        </w:rPr>
      </w:pPr>
      <w:r w:rsidRPr="00F45682">
        <w:rPr>
          <w:rFonts w:ascii="Calibri" w:hAnsi="Calibri" w:cs="Calibri"/>
          <w:color w:val="007BB8"/>
          <w:sz w:val="24"/>
          <w:szCs w:val="24"/>
        </w:rPr>
        <w:t xml:space="preserve">Insight 3: A large share of customers </w:t>
      </w:r>
      <w:proofErr w:type="gramStart"/>
      <w:r w:rsidRPr="00F45682">
        <w:rPr>
          <w:rFonts w:ascii="Calibri" w:hAnsi="Calibri" w:cs="Calibri"/>
          <w:color w:val="007BB8"/>
          <w:sz w:val="24"/>
          <w:szCs w:val="24"/>
        </w:rPr>
        <w:t>are</w:t>
      </w:r>
      <w:proofErr w:type="gramEnd"/>
      <w:r w:rsidRPr="00F45682">
        <w:rPr>
          <w:rFonts w:ascii="Calibri" w:hAnsi="Calibri" w:cs="Calibri"/>
          <w:color w:val="007BB8"/>
          <w:sz w:val="24"/>
          <w:szCs w:val="24"/>
        </w:rPr>
        <w:t xml:space="preserve"> already flagged as high churn risk</w:t>
      </w:r>
    </w:p>
    <w:p w14:paraId="045DDB9E" w14:textId="77777777" w:rsidR="00F45682" w:rsidRPr="007834D2" w:rsidRDefault="00F45682" w:rsidP="00F45682">
      <w:pPr>
        <w:rPr>
          <w:rFonts w:ascii="Calibri" w:hAnsi="Calibri" w:cs="Calibri"/>
          <w:color w:val="404040" w:themeColor="text1" w:themeTint="BF"/>
          <w:szCs w:val="22"/>
        </w:rPr>
      </w:pPr>
      <w:r w:rsidRPr="007834D2">
        <w:rPr>
          <w:rFonts w:ascii="Calibri" w:hAnsi="Calibri" w:cs="Calibri"/>
          <w:color w:val="404040" w:themeColor="text1" w:themeTint="BF"/>
          <w:szCs w:val="22"/>
        </w:rPr>
        <w:t>Around 14,117 customers, 29% of the base, are marked high-risk for churn.</w:t>
      </w:r>
    </w:p>
    <w:p w14:paraId="1FBEFD97" w14:textId="77777777" w:rsidR="00F45682" w:rsidRPr="007834D2" w:rsidRDefault="00F45682" w:rsidP="00F45682">
      <w:pPr>
        <w:rPr>
          <w:rFonts w:ascii="Calibri" w:hAnsi="Calibri" w:cs="Calibri"/>
          <w:color w:val="404040" w:themeColor="text1" w:themeTint="BF"/>
          <w:szCs w:val="22"/>
        </w:rPr>
      </w:pPr>
      <w:proofErr w:type="gramStart"/>
      <w:r w:rsidRPr="007834D2">
        <w:rPr>
          <w:rFonts w:ascii="Calibri" w:hAnsi="Calibri" w:cs="Calibri"/>
          <w:b/>
          <w:bCs/>
          <w:color w:val="404040" w:themeColor="text1" w:themeTint="BF"/>
          <w:szCs w:val="22"/>
        </w:rPr>
        <w:t>So</w:t>
      </w:r>
      <w:proofErr w:type="gramEnd"/>
      <w:r w:rsidRPr="007834D2">
        <w:rPr>
          <w:rFonts w:ascii="Calibri" w:hAnsi="Calibri" w:cs="Calibri"/>
          <w:b/>
          <w:bCs/>
          <w:color w:val="404040" w:themeColor="text1" w:themeTint="BF"/>
          <w:szCs w:val="22"/>
        </w:rPr>
        <w:t xml:space="preserve"> what: </w:t>
      </w:r>
      <w:r w:rsidRPr="007834D2">
        <w:rPr>
          <w:rFonts w:ascii="Calibri" w:hAnsi="Calibri" w:cs="Calibri"/>
          <w:color w:val="404040" w:themeColor="text1" w:themeTint="BF"/>
          <w:szCs w:val="22"/>
        </w:rPr>
        <w:t>That's too many customers to treat the same way. The bank should rank them further, for example high-risk customers with high balances should get priority attention first.</w:t>
      </w:r>
    </w:p>
    <w:p w14:paraId="7D133E60" w14:textId="77777777" w:rsidR="00F45682" w:rsidRPr="00F45682" w:rsidRDefault="00F45682" w:rsidP="00F45682">
      <w:pPr>
        <w:rPr>
          <w:rFonts w:ascii="Calibri" w:hAnsi="Calibri" w:cs="Calibri"/>
          <w:color w:val="007BB8"/>
          <w:sz w:val="24"/>
          <w:szCs w:val="24"/>
        </w:rPr>
      </w:pPr>
      <w:r w:rsidRPr="00F45682">
        <w:rPr>
          <w:rFonts w:ascii="Calibri" w:hAnsi="Calibri" w:cs="Calibri"/>
          <w:color w:val="007BB8"/>
          <w:sz w:val="24"/>
          <w:szCs w:val="24"/>
        </w:rPr>
        <w:t>Insight 4: Customer satisfaction is only average, not strong</w:t>
      </w:r>
    </w:p>
    <w:p w14:paraId="664CF5BD" w14:textId="77777777" w:rsidR="00F45682" w:rsidRPr="007834D2" w:rsidRDefault="00F45682" w:rsidP="00F45682">
      <w:pPr>
        <w:rPr>
          <w:rFonts w:ascii="Calibri" w:hAnsi="Calibri" w:cs="Calibri"/>
          <w:color w:val="404040" w:themeColor="text1" w:themeTint="BF"/>
          <w:szCs w:val="22"/>
        </w:rPr>
      </w:pPr>
      <w:r w:rsidRPr="007834D2">
        <w:rPr>
          <w:rFonts w:ascii="Calibri" w:hAnsi="Calibri" w:cs="Calibri"/>
          <w:color w:val="404040" w:themeColor="text1" w:themeTint="BF"/>
          <w:szCs w:val="22"/>
        </w:rPr>
        <w:t>The average satisfaction score is 3.20 out of 5, which is 64%.</w:t>
      </w:r>
    </w:p>
    <w:p w14:paraId="0CC35FC6" w14:textId="77777777" w:rsidR="00F45682" w:rsidRDefault="00F45682" w:rsidP="00F45682">
      <w:pPr>
        <w:rPr>
          <w:rFonts w:ascii="Calibri" w:hAnsi="Calibri" w:cs="Calibri"/>
          <w:color w:val="404040" w:themeColor="text1" w:themeTint="BF"/>
          <w:szCs w:val="22"/>
        </w:rPr>
      </w:pPr>
      <w:proofErr w:type="gramStart"/>
      <w:r>
        <w:rPr>
          <w:rFonts w:ascii="Calibri" w:hAnsi="Calibri" w:cs="Calibri"/>
          <w:b/>
          <w:bCs/>
          <w:color w:val="404040" w:themeColor="text1" w:themeTint="BF"/>
          <w:szCs w:val="22"/>
        </w:rPr>
        <w:t>So</w:t>
      </w:r>
      <w:proofErr w:type="gramEnd"/>
      <w:r w:rsidRPr="007834D2">
        <w:rPr>
          <w:rFonts w:ascii="Calibri" w:hAnsi="Calibri" w:cs="Calibri"/>
          <w:b/>
          <w:bCs/>
          <w:color w:val="404040" w:themeColor="text1" w:themeTint="BF"/>
          <w:szCs w:val="22"/>
        </w:rPr>
        <w:t xml:space="preserve"> what: </w:t>
      </w:r>
      <w:r w:rsidRPr="007834D2">
        <w:rPr>
          <w:rFonts w:ascii="Calibri" w:hAnsi="Calibri" w:cs="Calibri"/>
          <w:color w:val="404040" w:themeColor="text1" w:themeTint="BF"/>
          <w:szCs w:val="22"/>
        </w:rPr>
        <w:t>There's clear room to improve service. It's worth checking whether low-satisfaction customers are the same ones churning. If they are, satisfaction becomes an early-warning signal for who might leave next.</w:t>
      </w:r>
    </w:p>
    <w:p w14:paraId="06B3391A" w14:textId="451D3692" w:rsidR="00F45682" w:rsidRPr="00F45682" w:rsidRDefault="00F45682" w:rsidP="00F45682">
      <w:pPr>
        <w:rPr>
          <w:rFonts w:ascii="Calibri" w:hAnsi="Calibri" w:cs="Calibri"/>
          <w:color w:val="404040" w:themeColor="text1" w:themeTint="BF"/>
          <w:szCs w:val="22"/>
        </w:rPr>
      </w:pPr>
      <w:r w:rsidRPr="00F45682">
        <w:rPr>
          <w:rFonts w:ascii="Calibri" w:hAnsi="Calibri" w:cs="Calibri"/>
          <w:color w:val="007BB8"/>
          <w:sz w:val="24"/>
          <w:szCs w:val="24"/>
        </w:rPr>
        <w:lastRenderedPageBreak/>
        <w:t>Insight 5: No single card tier stands out in size</w:t>
      </w:r>
    </w:p>
    <w:p w14:paraId="24A25B43" w14:textId="77777777" w:rsidR="00F45682" w:rsidRPr="007834D2" w:rsidRDefault="00F45682" w:rsidP="00F45682">
      <w:pPr>
        <w:rPr>
          <w:rFonts w:ascii="Calibri" w:hAnsi="Calibri" w:cs="Calibri"/>
          <w:color w:val="404040" w:themeColor="text1" w:themeTint="BF"/>
          <w:szCs w:val="22"/>
        </w:rPr>
      </w:pPr>
      <w:r w:rsidRPr="007834D2">
        <w:rPr>
          <w:rFonts w:ascii="Calibri" w:hAnsi="Calibri" w:cs="Calibri"/>
          <w:color w:val="404040" w:themeColor="text1" w:themeTint="BF"/>
          <w:szCs w:val="22"/>
        </w:rPr>
        <w:t xml:space="preserve">Diamond, Gold, Platinum, and </w:t>
      </w:r>
      <w:r>
        <w:rPr>
          <w:rFonts w:ascii="Calibri" w:hAnsi="Calibri" w:cs="Calibri"/>
          <w:color w:val="404040" w:themeColor="text1" w:themeTint="BF"/>
          <w:szCs w:val="22"/>
        </w:rPr>
        <w:t>s</w:t>
      </w:r>
      <w:r w:rsidRPr="007834D2">
        <w:rPr>
          <w:rFonts w:ascii="Calibri" w:hAnsi="Calibri" w:cs="Calibri"/>
          <w:color w:val="404040" w:themeColor="text1" w:themeTint="BF"/>
          <w:szCs w:val="22"/>
        </w:rPr>
        <w:t>ilver cardholders are almost equally split, roughly 11,700 to 11,900 customers each. Only a small group of 1,494 has no card type recorded.</w:t>
      </w:r>
    </w:p>
    <w:p w14:paraId="0393D164" w14:textId="77777777" w:rsidR="00F45682" w:rsidRPr="007834D2" w:rsidRDefault="00F45682" w:rsidP="00F45682">
      <w:pPr>
        <w:rPr>
          <w:rFonts w:ascii="Calibri" w:hAnsi="Calibri" w:cs="Calibri"/>
          <w:color w:val="404040" w:themeColor="text1" w:themeTint="BF"/>
          <w:szCs w:val="22"/>
        </w:rPr>
      </w:pPr>
      <w:proofErr w:type="gramStart"/>
      <w:r w:rsidRPr="007834D2">
        <w:rPr>
          <w:rFonts w:ascii="Calibri" w:hAnsi="Calibri" w:cs="Calibri"/>
          <w:b/>
          <w:bCs/>
          <w:color w:val="404040" w:themeColor="text1" w:themeTint="BF"/>
          <w:szCs w:val="22"/>
        </w:rPr>
        <w:t>So</w:t>
      </w:r>
      <w:proofErr w:type="gramEnd"/>
      <w:r w:rsidRPr="007834D2">
        <w:rPr>
          <w:rFonts w:ascii="Calibri" w:hAnsi="Calibri" w:cs="Calibri"/>
          <w:b/>
          <w:bCs/>
          <w:color w:val="404040" w:themeColor="text1" w:themeTint="BF"/>
          <w:szCs w:val="22"/>
        </w:rPr>
        <w:t xml:space="preserve"> what: </w:t>
      </w:r>
      <w:r w:rsidRPr="007834D2">
        <w:rPr>
          <w:rFonts w:ascii="Calibri" w:hAnsi="Calibri" w:cs="Calibri"/>
          <w:color w:val="404040" w:themeColor="text1" w:themeTint="BF"/>
          <w:szCs w:val="22"/>
        </w:rPr>
        <w:t>Card tier alone is unlikely to be driving churn, since the groups are so evenly sized. It's still worth checking the churn rate within each tier separately, since headcount and churn rate are different questions.</w:t>
      </w:r>
    </w:p>
    <w:p w14:paraId="566C201E" w14:textId="77777777" w:rsidR="00F45682" w:rsidRPr="00F45682" w:rsidRDefault="00F45682" w:rsidP="00F45682">
      <w:pPr>
        <w:pBdr>
          <w:bottom w:val="single" w:sz="4" w:space="1" w:color="auto"/>
        </w:pBdr>
        <w:rPr>
          <w:rFonts w:ascii="Calibri" w:hAnsi="Calibri" w:cs="Calibri"/>
          <w:b/>
          <w:bCs/>
          <w:color w:val="004E9A"/>
          <w:sz w:val="28"/>
          <w:szCs w:val="24"/>
        </w:rPr>
      </w:pPr>
      <w:r w:rsidRPr="00F45682">
        <w:rPr>
          <w:rFonts w:ascii="Calibri" w:hAnsi="Calibri" w:cs="Calibri"/>
          <w:b/>
          <w:bCs/>
          <w:color w:val="004E9A"/>
          <w:sz w:val="28"/>
          <w:szCs w:val="24"/>
        </w:rPr>
        <w:t>6. Recommendations:</w:t>
      </w:r>
    </w:p>
    <w:p w14:paraId="0D18F884" w14:textId="5777946D" w:rsidR="00F45682" w:rsidRPr="00F45682" w:rsidRDefault="00F45682" w:rsidP="00F45682">
      <w:pPr>
        <w:numPr>
          <w:ilvl w:val="0"/>
          <w:numId w:val="2"/>
        </w:numPr>
        <w:rPr>
          <w:rFonts w:ascii="Calibri" w:hAnsi="Calibri" w:cs="Calibri"/>
          <w:color w:val="404040" w:themeColor="text1" w:themeTint="BF"/>
          <w:szCs w:val="22"/>
        </w:rPr>
      </w:pPr>
      <w:r w:rsidRPr="00F45682">
        <w:rPr>
          <w:rFonts w:ascii="Calibri" w:hAnsi="Calibri" w:cs="Calibri"/>
          <w:color w:val="404040" w:themeColor="text1" w:themeTint="BF"/>
          <w:szCs w:val="22"/>
        </w:rPr>
        <w:t xml:space="preserve">Investigate </w:t>
      </w:r>
      <w:proofErr w:type="spellStart"/>
      <w:r>
        <w:rPr>
          <w:rFonts w:ascii="Calibri" w:hAnsi="Calibri" w:cs="Calibri"/>
          <w:color w:val="404040" w:themeColor="text1" w:themeTint="BF"/>
          <w:szCs w:val="22"/>
        </w:rPr>
        <w:t>B</w:t>
      </w:r>
      <w:r w:rsidRPr="00F45682">
        <w:rPr>
          <w:rFonts w:ascii="Calibri" w:hAnsi="Calibri" w:cs="Calibri"/>
          <w:color w:val="404040" w:themeColor="text1" w:themeTint="BF"/>
          <w:szCs w:val="22"/>
        </w:rPr>
        <w:t>ehavio</w:t>
      </w:r>
      <w:r>
        <w:rPr>
          <w:rFonts w:ascii="Calibri" w:hAnsi="Calibri" w:cs="Calibri"/>
          <w:color w:val="404040" w:themeColor="text1" w:themeTint="BF"/>
          <w:szCs w:val="22"/>
        </w:rPr>
        <w:t>u</w:t>
      </w:r>
      <w:r w:rsidRPr="00F45682">
        <w:rPr>
          <w:rFonts w:ascii="Calibri" w:hAnsi="Calibri" w:cs="Calibri"/>
          <w:color w:val="404040" w:themeColor="text1" w:themeTint="BF"/>
          <w:szCs w:val="22"/>
        </w:rPr>
        <w:t>ral</w:t>
      </w:r>
      <w:proofErr w:type="spellEnd"/>
      <w:r w:rsidRPr="00F45682">
        <w:rPr>
          <w:rFonts w:ascii="Calibri" w:hAnsi="Calibri" w:cs="Calibri"/>
          <w:color w:val="404040" w:themeColor="text1" w:themeTint="BF"/>
          <w:szCs w:val="22"/>
        </w:rPr>
        <w:t xml:space="preserve"> and service signals — satisfaction score, complaints, and activity status — as the likely real drivers of churn, since demographic and account-type splits show almost no variation.</w:t>
      </w:r>
    </w:p>
    <w:p w14:paraId="12029CB9" w14:textId="77777777" w:rsidR="00F45682" w:rsidRPr="00F45682" w:rsidRDefault="00F45682" w:rsidP="00F45682">
      <w:pPr>
        <w:numPr>
          <w:ilvl w:val="0"/>
          <w:numId w:val="2"/>
        </w:numPr>
        <w:rPr>
          <w:rFonts w:ascii="Calibri" w:hAnsi="Calibri" w:cs="Calibri"/>
          <w:color w:val="404040" w:themeColor="text1" w:themeTint="BF"/>
          <w:szCs w:val="22"/>
        </w:rPr>
      </w:pPr>
      <w:r w:rsidRPr="00F45682">
        <w:rPr>
          <w:rFonts w:ascii="Calibri" w:hAnsi="Calibri" w:cs="Calibri"/>
          <w:color w:val="404040" w:themeColor="text1" w:themeTint="BF"/>
          <w:szCs w:val="22"/>
        </w:rPr>
        <w:t>Prioritize the 14,117 flagged high-risk customers by value (balance, products held) rather than treating the whole group the same way.</w:t>
      </w:r>
    </w:p>
    <w:p w14:paraId="0943249A" w14:textId="77777777" w:rsidR="00F45682" w:rsidRPr="00F45682" w:rsidRDefault="00F45682" w:rsidP="00F45682">
      <w:pPr>
        <w:numPr>
          <w:ilvl w:val="0"/>
          <w:numId w:val="2"/>
        </w:numPr>
        <w:rPr>
          <w:rFonts w:ascii="Calibri" w:hAnsi="Calibri" w:cs="Calibri"/>
          <w:color w:val="404040" w:themeColor="text1" w:themeTint="BF"/>
          <w:szCs w:val="22"/>
        </w:rPr>
      </w:pPr>
      <w:r w:rsidRPr="00F45682">
        <w:rPr>
          <w:rFonts w:ascii="Calibri" w:hAnsi="Calibri" w:cs="Calibri"/>
          <w:color w:val="404040" w:themeColor="text1" w:themeTint="BF"/>
          <w:szCs w:val="22"/>
        </w:rPr>
        <w:t>Review overall service quality — an average satisfaction score of 3.20 out of 5 across the base leaves room to improve, and may be linked to churn.</w:t>
      </w:r>
    </w:p>
    <w:p w14:paraId="6FDFCEAE" w14:textId="77777777" w:rsidR="00F45682" w:rsidRPr="00F45682" w:rsidRDefault="00F45682" w:rsidP="00F45682">
      <w:pPr>
        <w:numPr>
          <w:ilvl w:val="0"/>
          <w:numId w:val="2"/>
        </w:numPr>
        <w:rPr>
          <w:rFonts w:ascii="Calibri" w:hAnsi="Calibri" w:cs="Calibri"/>
          <w:color w:val="404040" w:themeColor="text1" w:themeTint="BF"/>
          <w:szCs w:val="22"/>
        </w:rPr>
      </w:pPr>
      <w:r w:rsidRPr="00F45682">
        <w:rPr>
          <w:rFonts w:ascii="Calibri" w:hAnsi="Calibri" w:cs="Calibri"/>
          <w:color w:val="404040" w:themeColor="text1" w:themeTint="BF"/>
          <w:szCs w:val="22"/>
        </w:rPr>
        <w:t>Fix data capture for Geography, Account Type, and Card Type at the source, so the "Unknown" segments shrink over time and don't need to be estimated after the fact.</w:t>
      </w:r>
    </w:p>
    <w:p w14:paraId="7808E5E3" w14:textId="77777777" w:rsidR="00F45682" w:rsidRPr="00F45682" w:rsidRDefault="00F45682" w:rsidP="00F45682">
      <w:pPr>
        <w:numPr>
          <w:ilvl w:val="0"/>
          <w:numId w:val="2"/>
        </w:numPr>
        <w:rPr>
          <w:rFonts w:ascii="Calibri" w:hAnsi="Calibri" w:cs="Calibri"/>
          <w:color w:val="404040" w:themeColor="text1" w:themeTint="BF"/>
          <w:szCs w:val="22"/>
        </w:rPr>
      </w:pPr>
      <w:r w:rsidRPr="00F45682">
        <w:rPr>
          <w:rFonts w:ascii="Calibri" w:hAnsi="Calibri" w:cs="Calibri"/>
          <w:color w:val="404040" w:themeColor="text1" w:themeTint="BF"/>
          <w:szCs w:val="22"/>
        </w:rPr>
        <w:t>Treat the 21% overall churn rate as a portfolio-wide issue and revisit retention strategy broadly, rather than only targeting a specific segment.</w:t>
      </w:r>
    </w:p>
    <w:p w14:paraId="6801550B" w14:textId="77777777" w:rsidR="00F45682" w:rsidRPr="00F45682" w:rsidRDefault="00F45682" w:rsidP="00F45682">
      <w:pPr>
        <w:pStyle w:val="Heading1"/>
        <w:pBdr>
          <w:bottom w:val="single" w:sz="4" w:space="1" w:color="auto"/>
        </w:pBdr>
        <w:spacing w:before="300" w:after="120"/>
        <w:rPr>
          <w:rFonts w:ascii="Calibri" w:eastAsiaTheme="minorHAnsi" w:hAnsi="Calibri" w:cs="Calibri"/>
          <w:b/>
          <w:bCs/>
          <w:color w:val="004E9A"/>
          <w:sz w:val="28"/>
          <w:szCs w:val="24"/>
        </w:rPr>
      </w:pPr>
      <w:r w:rsidRPr="00F45682">
        <w:rPr>
          <w:rFonts w:ascii="Calibri" w:eastAsiaTheme="minorHAnsi" w:hAnsi="Calibri" w:cs="Calibri"/>
          <w:b/>
          <w:bCs/>
          <w:color w:val="004E9A"/>
          <w:sz w:val="28"/>
          <w:szCs w:val="24"/>
        </w:rPr>
        <w:t>7. Case Study with Stakeholder:</w:t>
      </w:r>
    </w:p>
    <w:p w14:paraId="16286FC0" w14:textId="77777777" w:rsidR="00F45682" w:rsidRPr="00F45682" w:rsidRDefault="00F45682" w:rsidP="00F45682">
      <w:pPr>
        <w:spacing w:after="80"/>
        <w:rPr>
          <w:rFonts w:ascii="Calibri" w:hAnsi="Calibri" w:cs="Calibri"/>
          <w:color w:val="747474" w:themeColor="background2" w:themeShade="80"/>
          <w:sz w:val="24"/>
          <w:szCs w:val="22"/>
        </w:rPr>
      </w:pPr>
      <w:r w:rsidRPr="00F45682">
        <w:rPr>
          <w:rFonts w:ascii="Calibri" w:hAnsi="Calibri" w:cs="Calibri"/>
          <w:b/>
          <w:bCs/>
          <w:color w:val="747474" w:themeColor="background2" w:themeShade="80"/>
          <w:sz w:val="24"/>
          <w:szCs w:val="22"/>
        </w:rPr>
        <w:t>Stakeholder: Head of Customer Retention</w:t>
      </w:r>
    </w:p>
    <w:p w14:paraId="2853C9AE" w14:textId="77777777" w:rsidR="00F45682" w:rsidRPr="00F45682" w:rsidRDefault="00F45682" w:rsidP="00F45682">
      <w:pPr>
        <w:rPr>
          <w:rFonts w:ascii="Calibri" w:hAnsi="Calibri" w:cs="Calibri"/>
          <w:color w:val="595959" w:themeColor="text1" w:themeTint="A6"/>
        </w:rPr>
      </w:pPr>
      <w:r w:rsidRPr="00F45682">
        <w:rPr>
          <w:rFonts w:ascii="Calibri" w:hAnsi="Calibri" w:cs="Calibri"/>
          <w:i/>
          <w:iCs/>
          <w:color w:val="595959" w:themeColor="text1" w:themeTint="A6"/>
        </w:rPr>
        <w:t>"We know we're losing customers, but I can't tell if it's a specific segment we're failing, or if it's happening everywhere. I need to know where to focus first."</w:t>
      </w:r>
    </w:p>
    <w:p w14:paraId="316CE324" w14:textId="77777777" w:rsidR="00F45682" w:rsidRPr="00F45682" w:rsidRDefault="00F45682" w:rsidP="00F45682">
      <w:pPr>
        <w:spacing w:before="120" w:after="40"/>
        <w:rPr>
          <w:rFonts w:ascii="Calibri" w:hAnsi="Calibri" w:cs="Calibri"/>
          <w:color w:val="007BB8"/>
          <w:sz w:val="24"/>
          <w:szCs w:val="24"/>
        </w:rPr>
      </w:pPr>
      <w:r w:rsidRPr="00F45682">
        <w:rPr>
          <w:rFonts w:ascii="Calibri" w:hAnsi="Calibri" w:cs="Calibri"/>
          <w:color w:val="007BB8"/>
          <w:sz w:val="24"/>
          <w:szCs w:val="24"/>
        </w:rPr>
        <w:t>Approach</w:t>
      </w:r>
    </w:p>
    <w:p w14:paraId="3952A822" w14:textId="77777777" w:rsidR="00F45682" w:rsidRPr="00F45682" w:rsidRDefault="00F45682" w:rsidP="00F45682">
      <w:pPr>
        <w:spacing w:after="120"/>
        <w:rPr>
          <w:rFonts w:ascii="Calibri" w:hAnsi="Calibri" w:cs="Calibri"/>
          <w:color w:val="404040" w:themeColor="text1" w:themeTint="BF"/>
          <w:szCs w:val="22"/>
        </w:rPr>
      </w:pPr>
      <w:r w:rsidRPr="00F45682">
        <w:rPr>
          <w:rFonts w:ascii="Calibri" w:hAnsi="Calibri" w:cs="Calibri"/>
          <w:color w:val="404040" w:themeColor="text1" w:themeTint="BF"/>
          <w:szCs w:val="22"/>
        </w:rPr>
        <w:t>Cleaned and standardized a 48,730-record customer dataset in SQL Server, removing duplicates, flagging outliers transparently instead of removing them, and deriving Age Band, Balance Band, and High Churn Risk Flag fields. Built a single-page Excel dashboard with slicers so the stakeholder could filter by gender, geography, card type, and account type, and see live churn exposure across the customer base.</w:t>
      </w:r>
    </w:p>
    <w:p w14:paraId="3308E1D7" w14:textId="77777777" w:rsidR="00F45682" w:rsidRPr="00F45682" w:rsidRDefault="00F45682" w:rsidP="00F45682">
      <w:pPr>
        <w:spacing w:before="120" w:after="40"/>
        <w:rPr>
          <w:rFonts w:ascii="Calibri" w:hAnsi="Calibri" w:cs="Calibri"/>
          <w:color w:val="007BB8"/>
          <w:sz w:val="24"/>
          <w:szCs w:val="24"/>
        </w:rPr>
      </w:pPr>
      <w:r w:rsidRPr="00F45682">
        <w:rPr>
          <w:rFonts w:ascii="Calibri" w:hAnsi="Calibri" w:cs="Calibri"/>
          <w:color w:val="007BB8"/>
          <w:sz w:val="24"/>
          <w:szCs w:val="24"/>
        </w:rPr>
        <w:t>Findings</w:t>
      </w:r>
    </w:p>
    <w:p w14:paraId="76CCC580" w14:textId="77777777" w:rsidR="00F45682" w:rsidRPr="00F45682" w:rsidRDefault="00F45682" w:rsidP="00F45682">
      <w:pPr>
        <w:spacing w:after="120"/>
        <w:rPr>
          <w:rFonts w:ascii="Calibri" w:hAnsi="Calibri" w:cs="Calibri"/>
          <w:color w:val="404040" w:themeColor="text1" w:themeTint="BF"/>
          <w:szCs w:val="22"/>
        </w:rPr>
      </w:pPr>
      <w:r w:rsidRPr="00F45682">
        <w:rPr>
          <w:rFonts w:ascii="Calibri" w:hAnsi="Calibri" w:cs="Calibri"/>
          <w:color w:val="404040" w:themeColor="text1" w:themeTint="BF"/>
          <w:szCs w:val="22"/>
        </w:rPr>
        <w:t>The dashboard showed that churn is remarkably even, around 20–21%, across geography, age band, and account type, meaning none of these alone explains why customers leave. Overall churn stands at 21% of the base, well above a healthy benchmark, and 29% of customers are already flagged high-risk. Average satisfaction sits at only 3.20 out of 5, a plausible link to why customers are leaving even though it doesn't show up in the demographic splits.</w:t>
      </w:r>
    </w:p>
    <w:p w14:paraId="28C1BBE2" w14:textId="77777777" w:rsidR="00F45682" w:rsidRPr="00F45682" w:rsidRDefault="00F45682" w:rsidP="00F45682">
      <w:pPr>
        <w:spacing w:before="120" w:after="40"/>
        <w:rPr>
          <w:rFonts w:ascii="Calibri" w:hAnsi="Calibri" w:cs="Calibri"/>
          <w:color w:val="007BB8"/>
          <w:sz w:val="24"/>
          <w:szCs w:val="24"/>
        </w:rPr>
      </w:pPr>
      <w:r w:rsidRPr="00F45682">
        <w:rPr>
          <w:rFonts w:ascii="Calibri" w:hAnsi="Calibri" w:cs="Calibri"/>
          <w:color w:val="007BB8"/>
          <w:sz w:val="24"/>
          <w:szCs w:val="24"/>
        </w:rPr>
        <w:t>Recommendation</w:t>
      </w:r>
    </w:p>
    <w:p w14:paraId="434B834D" w14:textId="21860BCA" w:rsidR="00F45682" w:rsidRPr="00F45682" w:rsidRDefault="00F45682" w:rsidP="00F45682">
      <w:pPr>
        <w:spacing w:after="120"/>
        <w:rPr>
          <w:rFonts w:ascii="Calibri" w:hAnsi="Calibri" w:cs="Calibri"/>
        </w:rPr>
      </w:pPr>
      <w:r w:rsidRPr="00F45682">
        <w:rPr>
          <w:rFonts w:ascii="Calibri" w:hAnsi="Calibri" w:cs="Calibri"/>
          <w:color w:val="404040" w:themeColor="text1" w:themeTint="BF"/>
          <w:szCs w:val="22"/>
        </w:rPr>
        <w:t xml:space="preserve">The Head of Customer Retention should shift focus away from demographic targeting, since it doesn't explain churn here, and toward </w:t>
      </w:r>
      <w:proofErr w:type="spellStart"/>
      <w:r w:rsidRPr="00F45682">
        <w:rPr>
          <w:rFonts w:ascii="Calibri" w:hAnsi="Calibri" w:cs="Calibri"/>
          <w:color w:val="404040" w:themeColor="text1" w:themeTint="BF"/>
          <w:szCs w:val="22"/>
        </w:rPr>
        <w:t>behavioural</w:t>
      </w:r>
      <w:proofErr w:type="spellEnd"/>
      <w:r w:rsidRPr="00F45682">
        <w:rPr>
          <w:rFonts w:ascii="Calibri" w:hAnsi="Calibri" w:cs="Calibri"/>
          <w:color w:val="404040" w:themeColor="text1" w:themeTint="BF"/>
          <w:szCs w:val="22"/>
        </w:rPr>
        <w:t xml:space="preserve"> and service signals instead — starting with the 14,117 high-risk customers, prioritized by value, and a closer look at what's driving the below-par 3.20 satisfaction score.</w:t>
      </w:r>
    </w:p>
    <w:sectPr w:rsidR="00F45682" w:rsidRPr="00F45682" w:rsidSect="009400D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F1271"/>
    <w:multiLevelType w:val="hybridMultilevel"/>
    <w:tmpl w:val="ADC4ACCE"/>
    <w:lvl w:ilvl="0" w:tplc="CF00A9D8">
      <w:start w:val="1"/>
      <w:numFmt w:val="bullet"/>
      <w:lvlText w:val="●"/>
      <w:lvlJc w:val="left"/>
      <w:pPr>
        <w:ind w:left="720" w:hanging="360"/>
      </w:pPr>
    </w:lvl>
    <w:lvl w:ilvl="1" w:tplc="7448699E">
      <w:start w:val="1"/>
      <w:numFmt w:val="bullet"/>
      <w:lvlText w:val="○"/>
      <w:lvlJc w:val="left"/>
      <w:pPr>
        <w:ind w:left="1440" w:hanging="360"/>
      </w:pPr>
    </w:lvl>
    <w:lvl w:ilvl="2" w:tplc="6F9C38F0">
      <w:start w:val="1"/>
      <w:numFmt w:val="bullet"/>
      <w:lvlText w:val="■"/>
      <w:lvlJc w:val="left"/>
      <w:pPr>
        <w:ind w:left="2160" w:hanging="360"/>
      </w:pPr>
    </w:lvl>
    <w:lvl w:ilvl="3" w:tplc="A3A6B0B2">
      <w:start w:val="1"/>
      <w:numFmt w:val="bullet"/>
      <w:lvlText w:val="●"/>
      <w:lvlJc w:val="left"/>
      <w:pPr>
        <w:ind w:left="2880" w:hanging="360"/>
      </w:pPr>
    </w:lvl>
    <w:lvl w:ilvl="4" w:tplc="2BDE44A2">
      <w:start w:val="1"/>
      <w:numFmt w:val="bullet"/>
      <w:lvlText w:val="○"/>
      <w:lvlJc w:val="left"/>
      <w:pPr>
        <w:ind w:left="3600" w:hanging="360"/>
      </w:pPr>
    </w:lvl>
    <w:lvl w:ilvl="5" w:tplc="514A1B92">
      <w:start w:val="1"/>
      <w:numFmt w:val="bullet"/>
      <w:lvlText w:val="■"/>
      <w:lvlJc w:val="left"/>
      <w:pPr>
        <w:ind w:left="4320" w:hanging="360"/>
      </w:pPr>
    </w:lvl>
    <w:lvl w:ilvl="6" w:tplc="349EF2D6">
      <w:start w:val="1"/>
      <w:numFmt w:val="bullet"/>
      <w:lvlText w:val="●"/>
      <w:lvlJc w:val="left"/>
      <w:pPr>
        <w:ind w:left="5040" w:hanging="360"/>
      </w:pPr>
    </w:lvl>
    <w:lvl w:ilvl="7" w:tplc="92E27AF0">
      <w:start w:val="1"/>
      <w:numFmt w:val="bullet"/>
      <w:lvlText w:val="●"/>
      <w:lvlJc w:val="left"/>
      <w:pPr>
        <w:ind w:left="5760" w:hanging="360"/>
      </w:pPr>
    </w:lvl>
    <w:lvl w:ilvl="8" w:tplc="C756AB82">
      <w:start w:val="1"/>
      <w:numFmt w:val="bullet"/>
      <w:lvlText w:val="●"/>
      <w:lvlJc w:val="left"/>
      <w:pPr>
        <w:ind w:left="6480" w:hanging="360"/>
      </w:pPr>
    </w:lvl>
  </w:abstractNum>
  <w:abstractNum w:abstractNumId="1" w15:restartNumberingAfterBreak="0">
    <w:nsid w:val="7A9732E3"/>
    <w:multiLevelType w:val="hybridMultilevel"/>
    <w:tmpl w:val="F7287E8E"/>
    <w:lvl w:ilvl="0" w:tplc="939A0416">
      <w:start w:val="1"/>
      <w:numFmt w:val="bullet"/>
      <w:lvlText w:val="•"/>
      <w:lvlJc w:val="left"/>
      <w:pPr>
        <w:ind w:left="720" w:hanging="360"/>
      </w:pPr>
    </w:lvl>
    <w:lvl w:ilvl="1" w:tplc="F91062C0">
      <w:numFmt w:val="decimal"/>
      <w:lvlText w:val=""/>
      <w:lvlJc w:val="left"/>
      <w:pPr>
        <w:ind w:left="0" w:firstLine="0"/>
      </w:pPr>
    </w:lvl>
    <w:lvl w:ilvl="2" w:tplc="ED94073A">
      <w:numFmt w:val="decimal"/>
      <w:lvlText w:val=""/>
      <w:lvlJc w:val="left"/>
      <w:pPr>
        <w:ind w:left="0" w:firstLine="0"/>
      </w:pPr>
    </w:lvl>
    <w:lvl w:ilvl="3" w:tplc="AF76C358">
      <w:numFmt w:val="decimal"/>
      <w:lvlText w:val=""/>
      <w:lvlJc w:val="left"/>
      <w:pPr>
        <w:ind w:left="0" w:firstLine="0"/>
      </w:pPr>
    </w:lvl>
    <w:lvl w:ilvl="4" w:tplc="AEE89222">
      <w:numFmt w:val="decimal"/>
      <w:lvlText w:val=""/>
      <w:lvlJc w:val="left"/>
      <w:pPr>
        <w:ind w:left="0" w:firstLine="0"/>
      </w:pPr>
    </w:lvl>
    <w:lvl w:ilvl="5" w:tplc="8D16135A">
      <w:numFmt w:val="decimal"/>
      <w:lvlText w:val=""/>
      <w:lvlJc w:val="left"/>
      <w:pPr>
        <w:ind w:left="0" w:firstLine="0"/>
      </w:pPr>
    </w:lvl>
    <w:lvl w:ilvl="6" w:tplc="A13CFDB6">
      <w:numFmt w:val="decimal"/>
      <w:lvlText w:val=""/>
      <w:lvlJc w:val="left"/>
      <w:pPr>
        <w:ind w:left="0" w:firstLine="0"/>
      </w:pPr>
    </w:lvl>
    <w:lvl w:ilvl="7" w:tplc="FDAC37DA">
      <w:numFmt w:val="decimal"/>
      <w:lvlText w:val=""/>
      <w:lvlJc w:val="left"/>
      <w:pPr>
        <w:ind w:left="0" w:firstLine="0"/>
      </w:pPr>
    </w:lvl>
    <w:lvl w:ilvl="8" w:tplc="113A22E2">
      <w:numFmt w:val="decimal"/>
      <w:lvlText w:val=""/>
      <w:lvlJc w:val="left"/>
      <w:pPr>
        <w:ind w:left="0" w:firstLine="0"/>
      </w:pPr>
    </w:lvl>
  </w:abstractNum>
  <w:num w:numId="1" w16cid:durableId="820274014">
    <w:abstractNumId w:val="1"/>
  </w:num>
  <w:num w:numId="2" w16cid:durableId="166188117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DB"/>
    <w:rsid w:val="0068483E"/>
    <w:rsid w:val="00920794"/>
    <w:rsid w:val="009400DB"/>
    <w:rsid w:val="00F4568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2634"/>
  <w15:chartTrackingRefBased/>
  <w15:docId w15:val="{A147C3EA-D199-4FC3-8AD9-F142AD14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DB"/>
    <w:rPr>
      <w:rFonts w:cs="Mangal"/>
    </w:rPr>
  </w:style>
  <w:style w:type="paragraph" w:styleId="Heading1">
    <w:name w:val="heading 1"/>
    <w:basedOn w:val="Normal"/>
    <w:next w:val="Normal"/>
    <w:link w:val="Heading1Char"/>
    <w:uiPriority w:val="9"/>
    <w:qFormat/>
    <w:rsid w:val="009400D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400D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400D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40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D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400D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400D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40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DB"/>
    <w:rPr>
      <w:rFonts w:eastAsiaTheme="majorEastAsia" w:cstheme="majorBidi"/>
      <w:color w:val="272727" w:themeColor="text1" w:themeTint="D8"/>
    </w:rPr>
  </w:style>
  <w:style w:type="paragraph" w:styleId="Title">
    <w:name w:val="Title"/>
    <w:basedOn w:val="Normal"/>
    <w:next w:val="Normal"/>
    <w:link w:val="TitleChar"/>
    <w:uiPriority w:val="10"/>
    <w:qFormat/>
    <w:rsid w:val="009400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400D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400D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400D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400DB"/>
    <w:pPr>
      <w:spacing w:before="160"/>
      <w:jc w:val="center"/>
    </w:pPr>
    <w:rPr>
      <w:i/>
      <w:iCs/>
      <w:color w:val="404040" w:themeColor="text1" w:themeTint="BF"/>
    </w:rPr>
  </w:style>
  <w:style w:type="character" w:customStyle="1" w:styleId="QuoteChar">
    <w:name w:val="Quote Char"/>
    <w:basedOn w:val="DefaultParagraphFont"/>
    <w:link w:val="Quote"/>
    <w:uiPriority w:val="29"/>
    <w:rsid w:val="009400DB"/>
    <w:rPr>
      <w:rFonts w:cs="Mangal"/>
      <w:i/>
      <w:iCs/>
      <w:color w:val="404040" w:themeColor="text1" w:themeTint="BF"/>
    </w:rPr>
  </w:style>
  <w:style w:type="paragraph" w:styleId="ListParagraph">
    <w:name w:val="List Paragraph"/>
    <w:basedOn w:val="Normal"/>
    <w:uiPriority w:val="34"/>
    <w:qFormat/>
    <w:rsid w:val="009400DB"/>
    <w:pPr>
      <w:ind w:left="720"/>
      <w:contextualSpacing/>
    </w:pPr>
  </w:style>
  <w:style w:type="character" w:styleId="IntenseEmphasis">
    <w:name w:val="Intense Emphasis"/>
    <w:basedOn w:val="DefaultParagraphFont"/>
    <w:uiPriority w:val="21"/>
    <w:qFormat/>
    <w:rsid w:val="009400DB"/>
    <w:rPr>
      <w:i/>
      <w:iCs/>
      <w:color w:val="0F4761" w:themeColor="accent1" w:themeShade="BF"/>
    </w:rPr>
  </w:style>
  <w:style w:type="paragraph" w:styleId="IntenseQuote">
    <w:name w:val="Intense Quote"/>
    <w:basedOn w:val="Normal"/>
    <w:next w:val="Normal"/>
    <w:link w:val="IntenseQuoteChar"/>
    <w:uiPriority w:val="30"/>
    <w:qFormat/>
    <w:rsid w:val="0094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0DB"/>
    <w:rPr>
      <w:rFonts w:cs="Mangal"/>
      <w:i/>
      <w:iCs/>
      <w:color w:val="0F4761" w:themeColor="accent1" w:themeShade="BF"/>
    </w:rPr>
  </w:style>
  <w:style w:type="character" w:styleId="IntenseReference">
    <w:name w:val="Intense Reference"/>
    <w:basedOn w:val="DefaultParagraphFont"/>
    <w:uiPriority w:val="32"/>
    <w:qFormat/>
    <w:rsid w:val="009400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kumar</dc:creator>
  <cp:keywords/>
  <dc:description/>
  <cp:lastModifiedBy>vicky kumar</cp:lastModifiedBy>
  <cp:revision>1</cp:revision>
  <dcterms:created xsi:type="dcterms:W3CDTF">2026-09-01T13:56:00Z</dcterms:created>
  <dcterms:modified xsi:type="dcterms:W3CDTF">2026-09-01T14:17:00Z</dcterms:modified>
</cp:coreProperties>
</file>