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14D7" w14:textId="5FCC44D0" w:rsidR="00920794" w:rsidRPr="00E15052" w:rsidRDefault="005825DC">
      <w:pPr>
        <w:rPr>
          <w:rFonts w:ascii="Calibri" w:hAnsi="Calibri" w:cs="Calibri"/>
          <w:b/>
          <w:bCs/>
          <w:color w:val="1F3864"/>
          <w:sz w:val="56"/>
          <w:szCs w:val="56"/>
        </w:rPr>
      </w:pPr>
      <w:r w:rsidRPr="00E15052">
        <w:rPr>
          <w:rFonts w:ascii="Calibri" w:hAnsi="Calibri" w:cs="Calibri"/>
          <w:b/>
          <w:bCs/>
          <w:color w:val="1F3864"/>
          <w:sz w:val="56"/>
          <w:szCs w:val="56"/>
        </w:rPr>
        <w:t>Hazop Risk Analysis Dashboard</w:t>
      </w:r>
    </w:p>
    <w:p w14:paraId="7399F6F7" w14:textId="74A44468" w:rsidR="00E15052" w:rsidRDefault="005825DC" w:rsidP="00E15052">
      <w:pPr>
        <w:pBdr>
          <w:bottom w:val="single" w:sz="4" w:space="1" w:color="auto"/>
        </w:pBdr>
        <w:rPr>
          <w:rFonts w:ascii="Calibri" w:hAnsi="Calibri" w:cs="Calibri"/>
          <w:color w:val="747474" w:themeColor="background2" w:themeShade="80"/>
          <w:sz w:val="32"/>
          <w:szCs w:val="32"/>
        </w:rPr>
      </w:pPr>
      <w:r w:rsidRPr="00E15052">
        <w:rPr>
          <w:rFonts w:ascii="Calibri" w:hAnsi="Calibri" w:cs="Calibri"/>
          <w:color w:val="747474" w:themeColor="background2" w:themeShade="80"/>
          <w:sz w:val="32"/>
          <w:szCs w:val="32"/>
        </w:rPr>
        <w:t>Business</w:t>
      </w:r>
      <w:r w:rsidRPr="00E15052">
        <w:rPr>
          <w:rFonts w:ascii="Calibri" w:hAnsi="Calibri" w:cs="Calibri"/>
          <w:color w:val="747474" w:themeColor="background2" w:themeShade="80"/>
          <w:sz w:val="28"/>
          <w:szCs w:val="28"/>
        </w:rPr>
        <w:t xml:space="preserve"> Analysis</w:t>
      </w:r>
      <w:r w:rsidR="00E15052" w:rsidRPr="00E15052">
        <w:rPr>
          <w:rFonts w:ascii="Calibri" w:hAnsi="Calibri" w:cs="Calibri"/>
          <w:color w:val="747474" w:themeColor="background2" w:themeShade="80"/>
          <w:sz w:val="28"/>
          <w:szCs w:val="28"/>
        </w:rPr>
        <w:t xml:space="preserve"> -</w:t>
      </w:r>
      <w:r w:rsidRPr="00E15052">
        <w:rPr>
          <w:rFonts w:ascii="Calibri" w:hAnsi="Calibri" w:cs="Calibri"/>
          <w:color w:val="747474" w:themeColor="background2" w:themeShade="80"/>
          <w:sz w:val="28"/>
          <w:szCs w:val="28"/>
        </w:rPr>
        <w:t xml:space="preserve"> Key Findin</w:t>
      </w:r>
      <w:r w:rsidR="00E15052">
        <w:rPr>
          <w:rFonts w:ascii="Calibri" w:hAnsi="Calibri" w:cs="Calibri"/>
          <w:color w:val="747474" w:themeColor="background2" w:themeShade="80"/>
          <w:sz w:val="28"/>
          <w:szCs w:val="28"/>
        </w:rPr>
        <w:t>gs</w:t>
      </w:r>
    </w:p>
    <w:p w14:paraId="13269FF1" w14:textId="77777777" w:rsidR="00E41226" w:rsidRPr="00E41226" w:rsidRDefault="00E41226" w:rsidP="00E41226">
      <w:pPr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41226">
        <w:rPr>
          <w:rFonts w:ascii="Calibri" w:hAnsi="Calibri" w:cs="Calibri"/>
          <w:b/>
          <w:bCs/>
          <w:color w:val="1F3864"/>
          <w:sz w:val="28"/>
          <w:szCs w:val="28"/>
        </w:rPr>
        <w:t>Insight 1: Feed Line to R-101 and Separator V-701 carry the highest risk</w:t>
      </w:r>
      <w:r w:rsidRPr="00E41226">
        <w:rPr>
          <w:rFonts w:ascii="Calibri" w:hAnsi="Calibri" w:cs="Calibri"/>
          <w:b/>
          <w:bCs/>
          <w:color w:val="1F3864"/>
          <w:sz w:val="28"/>
          <w:szCs w:val="28"/>
        </w:rPr>
        <w:br/>
      </w:r>
      <w:r w:rsidRPr="00E41226">
        <w:rPr>
          <w:rFonts w:ascii="Calibri" w:hAnsi="Calibri" w:cs="Calibri"/>
          <w:color w:val="404040" w:themeColor="text1" w:themeTint="BF"/>
          <w:sz w:val="24"/>
          <w:szCs w:val="24"/>
        </w:rPr>
        <w:t>These two spots have risk scores of 161 and 160 — the highest across all equipment. Boiler B-801 sits at the bottom (83), so it's the safest by comparison. These two areas should be first on the inspection list.</w:t>
      </w:r>
    </w:p>
    <w:p w14:paraId="4BD2911B" w14:textId="5B1AE838" w:rsidR="00E41226" w:rsidRPr="00E41226" w:rsidRDefault="00E41226" w:rsidP="00E41226">
      <w:pPr>
        <w:rPr>
          <w:rFonts w:ascii="Calibri" w:hAnsi="Calibri" w:cs="Calibri"/>
          <w:color w:val="747474" w:themeColor="background2" w:themeShade="80"/>
          <w:sz w:val="32"/>
          <w:szCs w:val="32"/>
        </w:rPr>
      </w:pPr>
      <w:r w:rsidRPr="00E41226">
        <w:rPr>
          <w:rFonts w:ascii="Calibri" w:hAnsi="Calibri" w:cs="Calibri"/>
          <w:b/>
          <w:bCs/>
          <w:color w:val="1F3864"/>
          <w:sz w:val="28"/>
          <w:szCs w:val="28"/>
        </w:rPr>
        <w:t xml:space="preserve">Insight 2: Operations </w:t>
      </w:r>
      <w:r>
        <w:rPr>
          <w:rFonts w:ascii="Calibri" w:hAnsi="Calibri" w:cs="Calibri"/>
          <w:b/>
          <w:bCs/>
          <w:color w:val="1F3864"/>
          <w:sz w:val="28"/>
          <w:szCs w:val="28"/>
        </w:rPr>
        <w:t>are</w:t>
      </w:r>
      <w:r w:rsidRPr="00E41226">
        <w:rPr>
          <w:rFonts w:ascii="Calibri" w:hAnsi="Calibri" w:cs="Calibri"/>
          <w:b/>
          <w:bCs/>
          <w:color w:val="1F3864"/>
          <w:sz w:val="28"/>
          <w:szCs w:val="28"/>
        </w:rPr>
        <w:t xml:space="preserve"> handling more risk than the safety team</w:t>
      </w:r>
      <w:r w:rsidR="00233164">
        <w:rPr>
          <w:rFonts w:ascii="Calibri" w:hAnsi="Calibri" w:cs="Calibri"/>
          <w:b/>
          <w:bCs/>
          <w:color w:val="1F3864"/>
          <w:sz w:val="28"/>
          <w:szCs w:val="28"/>
        </w:rPr>
        <w:t>SS</w:t>
      </w:r>
      <w:r w:rsidRPr="00E41226">
        <w:rPr>
          <w:rFonts w:ascii="Calibri" w:hAnsi="Calibri" w:cs="Calibri"/>
          <w:color w:val="747474" w:themeColor="background2" w:themeShade="80"/>
          <w:sz w:val="32"/>
          <w:szCs w:val="32"/>
        </w:rPr>
        <w:br/>
      </w:r>
      <w:r w:rsidRPr="00E41226">
        <w:rPr>
          <w:rFonts w:ascii="Calibri" w:hAnsi="Calibri" w:cs="Calibri"/>
          <w:color w:val="404040" w:themeColor="text1" w:themeTint="BF"/>
          <w:sz w:val="24"/>
          <w:szCs w:val="24"/>
        </w:rPr>
        <w:t>Operations covers 42% of the total risk-weighted workload, while Process Safety — whose actual job is to manage risk — only handles 19%. Worth asking why more of this isn't going to the specialized team.</w:t>
      </w:r>
    </w:p>
    <w:p w14:paraId="68158742" w14:textId="77777777" w:rsidR="00E41226" w:rsidRPr="00E41226" w:rsidRDefault="00E41226" w:rsidP="00E41226">
      <w:pPr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41226">
        <w:rPr>
          <w:rFonts w:ascii="Calibri" w:hAnsi="Calibri" w:cs="Calibri"/>
          <w:b/>
          <w:bCs/>
          <w:color w:val="1F3864"/>
          <w:sz w:val="28"/>
          <w:szCs w:val="28"/>
        </w:rPr>
        <w:t>Insight 3: A small set of causes keep repeating</w:t>
      </w:r>
      <w:r w:rsidRPr="00E41226">
        <w:rPr>
          <w:rFonts w:ascii="Calibri" w:hAnsi="Calibri" w:cs="Calibri"/>
          <w:color w:val="747474" w:themeColor="background2" w:themeShade="80"/>
          <w:sz w:val="32"/>
          <w:szCs w:val="32"/>
        </w:rPr>
        <w:br/>
      </w:r>
      <w:r w:rsidRPr="00E41226">
        <w:rPr>
          <w:rFonts w:ascii="Calibri" w:hAnsi="Calibri" w:cs="Calibri"/>
          <w:color w:val="404040" w:themeColor="text1" w:themeTint="BF"/>
          <w:sz w:val="24"/>
          <w:szCs w:val="24"/>
        </w:rPr>
        <w:t>Utility Failure (24) and Operator Error (21) show up way more than anything else. These aren't one-off accidents — they're recurring patterns, which usually means better training or maintenance schedules could cut a good chunk of them out.</w:t>
      </w:r>
    </w:p>
    <w:p w14:paraId="1CF2CFA3" w14:textId="267A486B" w:rsidR="00E41226" w:rsidRPr="00E41226" w:rsidRDefault="00E41226" w:rsidP="00E41226">
      <w:pPr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41226">
        <w:rPr>
          <w:rFonts w:ascii="Calibri" w:hAnsi="Calibri" w:cs="Calibri"/>
          <w:b/>
          <w:bCs/>
          <w:color w:val="1F3864"/>
          <w:sz w:val="28"/>
          <w:szCs w:val="28"/>
        </w:rPr>
        <w:t>Insight 4: Only 1 in 4 risks actually gets fully closed</w:t>
      </w:r>
      <w:r w:rsidRPr="00E41226">
        <w:rPr>
          <w:rFonts w:ascii="Calibri" w:hAnsi="Calibri" w:cs="Calibri"/>
          <w:color w:val="747474" w:themeColor="background2" w:themeShade="80"/>
          <w:sz w:val="32"/>
          <w:szCs w:val="32"/>
        </w:rPr>
        <w:br/>
      </w:r>
      <w:r w:rsidRPr="00E41226">
        <w:rPr>
          <w:rFonts w:ascii="Calibri" w:hAnsi="Calibri" w:cs="Calibri"/>
          <w:color w:val="404040" w:themeColor="text1" w:themeTint="BF"/>
          <w:sz w:val="24"/>
          <w:szCs w:val="24"/>
        </w:rPr>
        <w:t>Open (18%) and In Progress (32%) together make up half of all cases. Only 25% are marked Closed. for every four risks identified, only about one is actually resolved.</w:t>
      </w:r>
    </w:p>
    <w:p w14:paraId="2A145FD5" w14:textId="77777777" w:rsidR="00E41226" w:rsidRPr="00E41226" w:rsidRDefault="00E41226" w:rsidP="00E41226">
      <w:pPr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41226">
        <w:rPr>
          <w:rFonts w:ascii="Calibri" w:hAnsi="Calibri" w:cs="Calibri"/>
          <w:b/>
          <w:bCs/>
          <w:color w:val="1F3864"/>
          <w:sz w:val="28"/>
          <w:szCs w:val="28"/>
        </w:rPr>
        <w:t>Insight 5: 1 in 8 risks has nobody responsible for it</w:t>
      </w:r>
      <w:r w:rsidRPr="00E41226">
        <w:rPr>
          <w:rFonts w:ascii="Calibri" w:hAnsi="Calibri" w:cs="Calibri"/>
          <w:b/>
          <w:bCs/>
          <w:color w:val="1F3864"/>
          <w:sz w:val="28"/>
          <w:szCs w:val="28"/>
        </w:rPr>
        <w:br/>
      </w:r>
      <w:r w:rsidRPr="00E41226">
        <w:rPr>
          <w:rFonts w:ascii="Calibri" w:hAnsi="Calibri" w:cs="Calibri"/>
          <w:color w:val="404040" w:themeColor="text1" w:themeTint="BF"/>
          <w:sz w:val="24"/>
          <w:szCs w:val="24"/>
        </w:rPr>
        <w:t>158 entries (12%) have no team assigned at all. Without an owner, these are the ones most likely to slip through the cracks and never get followed up on.</w:t>
      </w:r>
    </w:p>
    <w:p w14:paraId="6AAD2A05" w14:textId="77777777" w:rsidR="00E41226" w:rsidRPr="00E41226" w:rsidRDefault="00E41226" w:rsidP="00E41226">
      <w:pPr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41226">
        <w:rPr>
          <w:rFonts w:ascii="Calibri" w:hAnsi="Calibri" w:cs="Calibri"/>
          <w:b/>
          <w:bCs/>
          <w:color w:val="1F3864"/>
          <w:sz w:val="28"/>
          <w:szCs w:val="28"/>
        </w:rPr>
        <w:t>Insight 6: The backlog keeps growing month after month</w:t>
      </w:r>
      <w:r w:rsidRPr="00E41226">
        <w:rPr>
          <w:rFonts w:ascii="Calibri" w:hAnsi="Calibri" w:cs="Calibri"/>
          <w:b/>
          <w:bCs/>
          <w:color w:val="1F3864"/>
          <w:sz w:val="28"/>
          <w:szCs w:val="28"/>
        </w:rPr>
        <w:br/>
      </w:r>
      <w:r w:rsidRPr="00E41226">
        <w:rPr>
          <w:rFonts w:ascii="Calibri" w:hAnsi="Calibri" w:cs="Calibri"/>
          <w:color w:val="404040" w:themeColor="text1" w:themeTint="BF"/>
          <w:sz w:val="24"/>
          <w:szCs w:val="24"/>
        </w:rPr>
        <w:t>Looking at the cumulative trend, In Progress and Open cases keep climbing faster than Closed ones. The gap between what's found and what's fixed keeps widening — not a good sign if it keeps going.</w:t>
      </w:r>
    </w:p>
    <w:p w14:paraId="7F3F1DBD" w14:textId="77777777" w:rsidR="00E15052" w:rsidRDefault="00E15052" w:rsidP="00E15052">
      <w:pPr>
        <w:rPr>
          <w:rFonts w:ascii="Calibri" w:hAnsi="Calibri" w:cs="Calibri"/>
          <w:color w:val="747474" w:themeColor="background2" w:themeShade="80"/>
          <w:sz w:val="32"/>
          <w:szCs w:val="32"/>
        </w:rPr>
      </w:pPr>
    </w:p>
    <w:sectPr w:rsidR="00E15052" w:rsidSect="005825D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DC"/>
    <w:rsid w:val="00233164"/>
    <w:rsid w:val="005825DC"/>
    <w:rsid w:val="00786BE9"/>
    <w:rsid w:val="00920794"/>
    <w:rsid w:val="00C4221A"/>
    <w:rsid w:val="00E15052"/>
    <w:rsid w:val="00E4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D191"/>
  <w15:chartTrackingRefBased/>
  <w15:docId w15:val="{6D9EA96B-010A-49CC-857D-33D0111F6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5D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D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5D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25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25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5D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5D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kumar</dc:creator>
  <cp:keywords/>
  <dc:description/>
  <cp:lastModifiedBy>vicky kumar</cp:lastModifiedBy>
  <cp:revision>2</cp:revision>
  <dcterms:created xsi:type="dcterms:W3CDTF">2026-08-16T06:39:00Z</dcterms:created>
  <dcterms:modified xsi:type="dcterms:W3CDTF">2026-08-16T08:02:00Z</dcterms:modified>
</cp:coreProperties>
</file>