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387A" w14:textId="77777777" w:rsidR="002676EB" w:rsidRPr="002676EB" w:rsidRDefault="002676EB" w:rsidP="002676EB">
      <w:pPr>
        <w:rPr>
          <w:rFonts w:ascii="Calibri" w:hAnsi="Calibri" w:cs="Calibri"/>
          <w:b/>
          <w:bCs/>
          <w:color w:val="215E99" w:themeColor="text2" w:themeTint="BF"/>
          <w:sz w:val="56"/>
          <w:szCs w:val="56"/>
        </w:rPr>
      </w:pPr>
      <w:r w:rsidRPr="002676EB">
        <w:rPr>
          <w:rFonts w:ascii="Calibri" w:hAnsi="Calibri" w:cs="Calibri"/>
          <w:b/>
          <w:bCs/>
          <w:color w:val="215E99" w:themeColor="text2" w:themeTint="BF"/>
          <w:sz w:val="56"/>
          <w:szCs w:val="56"/>
        </w:rPr>
        <w:t>HAZOP Risk Analysis Dashboard</w:t>
      </w:r>
    </w:p>
    <w:p w14:paraId="0FB82EC5" w14:textId="77777777" w:rsidR="002676EB" w:rsidRPr="002676EB" w:rsidRDefault="002676EB" w:rsidP="002676EB">
      <w:pPr>
        <w:pBdr>
          <w:bottom w:val="single" w:sz="4" w:space="1" w:color="auto"/>
        </w:pBdr>
        <w:rPr>
          <w:color w:val="747474" w:themeColor="background2" w:themeShade="80"/>
          <w:sz w:val="36"/>
          <w:szCs w:val="32"/>
        </w:rPr>
      </w:pPr>
      <w:r w:rsidRPr="002676EB">
        <w:rPr>
          <w:color w:val="747474" w:themeColor="background2" w:themeShade="80"/>
          <w:sz w:val="36"/>
          <w:szCs w:val="32"/>
        </w:rPr>
        <w:t>Business Analysis Report</w:t>
      </w:r>
    </w:p>
    <w:p w14:paraId="100DFB95" w14:textId="77777777" w:rsidR="00C26372" w:rsidRDefault="00C26372" w:rsidP="002676EB">
      <w:pPr>
        <w:rPr>
          <w:rFonts w:ascii="Calibri" w:hAnsi="Calibri" w:cs="Calibri"/>
          <w:b/>
          <w:bCs/>
          <w:color w:val="004F88"/>
          <w:sz w:val="28"/>
          <w:szCs w:val="24"/>
        </w:rPr>
      </w:pPr>
    </w:p>
    <w:p w14:paraId="3B102D38" w14:textId="2DCECD89" w:rsidR="002676EB" w:rsidRDefault="001D27B8" w:rsidP="001D27B8">
      <w:pPr>
        <w:pBdr>
          <w:bottom w:val="single" w:sz="4" w:space="1" w:color="auto"/>
        </w:pBdr>
        <w:rPr>
          <w:rFonts w:ascii="Calibri" w:hAnsi="Calibri" w:cs="Calibri"/>
          <w:b/>
          <w:bCs/>
          <w:color w:val="004F88"/>
          <w:sz w:val="28"/>
          <w:szCs w:val="24"/>
        </w:rPr>
      </w:pPr>
      <w:r>
        <w:rPr>
          <w:rFonts w:ascii="Calibri" w:hAnsi="Calibri" w:cs="Calibri"/>
          <w:b/>
          <w:bCs/>
          <w:color w:val="004F88"/>
          <w:sz w:val="28"/>
          <w:szCs w:val="24"/>
        </w:rPr>
        <w:t xml:space="preserve">1 </w:t>
      </w:r>
      <w:r w:rsidR="002676EB" w:rsidRPr="002676EB">
        <w:rPr>
          <w:rFonts w:ascii="Calibri" w:hAnsi="Calibri" w:cs="Calibri"/>
          <w:b/>
          <w:bCs/>
          <w:color w:val="004F88"/>
          <w:sz w:val="28"/>
          <w:szCs w:val="24"/>
        </w:rPr>
        <w:t>Objective</w:t>
      </w:r>
      <w:r w:rsidR="002676EB">
        <w:rPr>
          <w:rFonts w:ascii="Calibri" w:hAnsi="Calibri" w:cs="Calibri"/>
          <w:b/>
          <w:bCs/>
          <w:color w:val="004F88"/>
          <w:sz w:val="28"/>
          <w:szCs w:val="24"/>
        </w:rPr>
        <w:t>:</w:t>
      </w:r>
    </w:p>
    <w:p w14:paraId="02A02104" w14:textId="77777777" w:rsidR="002676EB" w:rsidRDefault="002676EB" w:rsidP="002676EB">
      <w:pPr>
        <w:rPr>
          <w:rFonts w:ascii="Calibri" w:hAnsi="Calibri" w:cs="Calibri"/>
          <w:color w:val="404040" w:themeColor="text1" w:themeTint="BF"/>
        </w:rPr>
      </w:pPr>
      <w:r w:rsidRPr="002676EB">
        <w:rPr>
          <w:rFonts w:ascii="Calibri" w:hAnsi="Calibri" w:cs="Calibri"/>
          <w:color w:val="404040" w:themeColor="text1" w:themeTint="BF"/>
        </w:rPr>
        <w:t>This project cleans and analyzes a HAZOP (Hazard and Operability Study) risk register from a chemical process plant, transforming an inconsistent raw dataset into an interactive Excel dashboard. The goal was to practice real-world data cleaning, Power Query transformations, pivot table analysis, and dashboard design skills relevant to a data analytics role.</w:t>
      </w:r>
    </w:p>
    <w:p w14:paraId="08BFF4D7" w14:textId="0200A8BF" w:rsidR="002676EB" w:rsidRPr="003252E5" w:rsidRDefault="001D27B8" w:rsidP="001D27B8">
      <w:pPr>
        <w:pBdr>
          <w:bottom w:val="single" w:sz="4" w:space="1" w:color="auto"/>
        </w:pBdr>
        <w:rPr>
          <w:rFonts w:ascii="Calibri" w:hAnsi="Calibri" w:cs="Calibri"/>
          <w:b/>
          <w:bCs/>
          <w:color w:val="004F88"/>
          <w:sz w:val="28"/>
          <w:szCs w:val="24"/>
        </w:rPr>
      </w:pPr>
      <w:r>
        <w:rPr>
          <w:rFonts w:ascii="Calibri" w:hAnsi="Calibri" w:cs="Calibri"/>
          <w:b/>
          <w:bCs/>
          <w:color w:val="004F88"/>
          <w:sz w:val="28"/>
          <w:szCs w:val="24"/>
        </w:rPr>
        <w:t xml:space="preserve">2 </w:t>
      </w:r>
      <w:r w:rsidR="002676EB" w:rsidRPr="003252E5">
        <w:rPr>
          <w:rFonts w:ascii="Calibri" w:hAnsi="Calibri" w:cs="Calibri"/>
          <w:b/>
          <w:bCs/>
          <w:color w:val="004F88"/>
          <w:sz w:val="28"/>
          <w:szCs w:val="24"/>
        </w:rPr>
        <w:t>Data Quality Issues</w:t>
      </w:r>
      <w:r w:rsidR="002676EB" w:rsidRPr="003252E5">
        <w:rPr>
          <w:rFonts w:ascii="Calibri" w:hAnsi="Calibri" w:cs="Calibri"/>
          <w:b/>
          <w:bCs/>
          <w:color w:val="004F88"/>
          <w:sz w:val="28"/>
          <w:szCs w:val="24"/>
        </w:rPr>
        <w:t>:</w:t>
      </w:r>
    </w:p>
    <w:p w14:paraId="3FDCFE2D" w14:textId="77777777" w:rsidR="003252E5" w:rsidRPr="003252E5" w:rsidRDefault="003252E5" w:rsidP="003252E5">
      <w:pPr>
        <w:jc w:val="both"/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•  Study Date was recorded in five different formats within the same column.</w:t>
      </w:r>
    </w:p>
    <w:p w14:paraId="1C0FD7E5" w14:textId="77777777" w:rsidR="003252E5" w:rsidRPr="003252E5" w:rsidRDefault="003252E5" w:rsidP="003252E5">
      <w:pPr>
        <w:jc w:val="both"/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•  Text fields (Node, Status, Safeguard, etc.) had inconsistent casing and near-duplicate values, e.g. "Open" vs "open" vs "OPEN".</w:t>
      </w:r>
    </w:p>
    <w:p w14:paraId="26DA33F9" w14:textId="77777777" w:rsidR="003252E5" w:rsidRPr="003252E5" w:rsidRDefault="003252E5" w:rsidP="003252E5">
      <w:pPr>
        <w:jc w:val="both"/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•  Severity and Likelihood were recorded as a mix of numeric values (1-5) and text labels (High/Medium/Low).</w:t>
      </w:r>
    </w:p>
    <w:p w14:paraId="1C08B1C0" w14:textId="77777777" w:rsidR="003252E5" w:rsidRPr="003252E5" w:rsidRDefault="003252E5" w:rsidP="003252E5">
      <w:pPr>
        <w:jc w:val="both"/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•  Missing values were spread across Node, Parameter, Guide Word, Cause, Consequence, and Safeguard fields.</w:t>
      </w:r>
    </w:p>
    <w:p w14:paraId="1497C182" w14:textId="77777777" w:rsidR="003252E5" w:rsidRPr="003252E5" w:rsidRDefault="003252E5" w:rsidP="003252E5">
      <w:pPr>
        <w:jc w:val="both"/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•  Duplicate rows and duplicate HAZOP IDs were present in the raw data.</w:t>
      </w:r>
    </w:p>
    <w:p w14:paraId="0504CF69" w14:textId="1CE758E4" w:rsidR="003252E5" w:rsidRPr="003252E5" w:rsidRDefault="003252E5" w:rsidP="003252E5">
      <w:pPr>
        <w:jc w:val="both"/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•  Risk Rating values were malformed text concatenations (e.g. "3x4") instead of calculated numbers.</w:t>
      </w:r>
    </w:p>
    <w:p w14:paraId="2D71D182" w14:textId="7FD7B9C0" w:rsidR="002676EB" w:rsidRDefault="001D27B8" w:rsidP="001D27B8">
      <w:pPr>
        <w:pBdr>
          <w:bottom w:val="single" w:sz="4" w:space="1" w:color="auto"/>
        </w:pBdr>
        <w:rPr>
          <w:rFonts w:ascii="Calibri" w:hAnsi="Calibri" w:cs="Calibri"/>
          <w:b/>
          <w:bCs/>
          <w:color w:val="004F88"/>
          <w:sz w:val="28"/>
          <w:szCs w:val="24"/>
        </w:rPr>
      </w:pPr>
      <w:r>
        <w:rPr>
          <w:rFonts w:ascii="Calibri" w:hAnsi="Calibri" w:cs="Calibri"/>
          <w:b/>
          <w:bCs/>
          <w:color w:val="004F88"/>
          <w:sz w:val="28"/>
          <w:szCs w:val="24"/>
        </w:rPr>
        <w:t xml:space="preserve">3 </w:t>
      </w:r>
      <w:r w:rsidR="003252E5" w:rsidRPr="003252E5">
        <w:rPr>
          <w:rFonts w:ascii="Calibri" w:hAnsi="Calibri" w:cs="Calibri"/>
          <w:b/>
          <w:bCs/>
          <w:color w:val="004F88"/>
          <w:sz w:val="28"/>
          <w:szCs w:val="24"/>
        </w:rPr>
        <w:t>Methodology</w:t>
      </w:r>
      <w:r w:rsidR="003252E5" w:rsidRPr="003252E5">
        <w:rPr>
          <w:rFonts w:ascii="Calibri" w:hAnsi="Calibri" w:cs="Calibri"/>
          <w:b/>
          <w:bCs/>
          <w:color w:val="004F88"/>
          <w:sz w:val="28"/>
          <w:szCs w:val="24"/>
        </w:rPr>
        <w:t>:</w:t>
      </w:r>
    </w:p>
    <w:p w14:paraId="0623E4A2" w14:textId="77777777" w:rsidR="003252E5" w:rsidRDefault="003252E5" w:rsidP="003252E5">
      <w:pPr>
        <w:rPr>
          <w:rFonts w:ascii="Calibri" w:hAnsi="Calibri" w:cs="Calibri"/>
          <w:color w:val="00204F"/>
        </w:rPr>
      </w:pPr>
      <w:r w:rsidRPr="003252E5">
        <w:rPr>
          <w:rFonts w:ascii="Calibri" w:hAnsi="Calibri" w:cs="Calibri"/>
          <w:color w:val="00204F"/>
        </w:rPr>
        <w:t>Raw data was cleaned in Power Query — dates were standardized using a locale-fallback formula, text fields were trimmed and standardized, and missing values were labeled transparently (e.g., "Not Documented") rather than deleted. Severity and Likelihood were mapped to a common 1-5 scale, and Risk Rating was recalculated as Severity × Likelihood. Twelve independent pivot tables were built to power four KPI cards and eight charts, assembled into a single interactive dashboard with slicers and a date timeline.</w:t>
      </w:r>
    </w:p>
    <w:p w14:paraId="152DA344" w14:textId="599C5CD9" w:rsidR="003252E5" w:rsidRPr="001D27B8" w:rsidRDefault="001D27B8" w:rsidP="001D27B8">
      <w:pPr>
        <w:pBdr>
          <w:bottom w:val="single" w:sz="4" w:space="1" w:color="auto"/>
        </w:pBdr>
        <w:rPr>
          <w:rFonts w:ascii="Calibri" w:hAnsi="Calibri" w:cs="Calibri"/>
          <w:b/>
          <w:bCs/>
          <w:color w:val="004F88"/>
          <w:sz w:val="28"/>
          <w:szCs w:val="24"/>
        </w:rPr>
      </w:pPr>
      <w:r w:rsidRPr="001D27B8">
        <w:rPr>
          <w:rFonts w:ascii="Calibri" w:hAnsi="Calibri" w:cs="Calibri"/>
          <w:b/>
          <w:bCs/>
          <w:color w:val="004F88"/>
          <w:sz w:val="28"/>
          <w:szCs w:val="24"/>
        </w:rPr>
        <w:t xml:space="preserve">4 </w:t>
      </w:r>
      <w:r w:rsidR="003252E5" w:rsidRPr="001D27B8">
        <w:rPr>
          <w:rFonts w:ascii="Calibri" w:hAnsi="Calibri" w:cs="Calibri"/>
          <w:b/>
          <w:bCs/>
          <w:color w:val="004F88"/>
          <w:sz w:val="28"/>
          <w:szCs w:val="24"/>
        </w:rPr>
        <w:t>Key Findings</w:t>
      </w:r>
      <w:r w:rsidR="003252E5" w:rsidRPr="001D27B8">
        <w:rPr>
          <w:rFonts w:ascii="Calibri" w:hAnsi="Calibri" w:cs="Calibri"/>
          <w:b/>
          <w:bCs/>
          <w:color w:val="004F88"/>
          <w:sz w:val="28"/>
          <w:szCs w:val="24"/>
        </w:rPr>
        <w:t>:</w:t>
      </w:r>
    </w:p>
    <w:p w14:paraId="7CB42BCF" w14:textId="77777777" w:rsidR="003252E5" w:rsidRPr="003252E5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3252E5">
        <w:rPr>
          <w:rFonts w:ascii="Calibri" w:hAnsi="Calibri" w:cs="Calibri"/>
          <w:color w:val="004F88"/>
          <w:sz w:val="24"/>
          <w:szCs w:val="22"/>
        </w:rPr>
        <w:t>Insight 1: Feed Line to R-101 and Separator V-701 carry the highest risk</w:t>
      </w:r>
    </w:p>
    <w:p w14:paraId="270197E4" w14:textId="77777777" w:rsidR="003252E5" w:rsidRPr="003252E5" w:rsidRDefault="003252E5" w:rsidP="003252E5">
      <w:pPr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These two spots have risk scores of 161 and 160 — the highest across all equipment. Boiler B-801 sits at the bottom (83), so it's the safest by comparison. These two areas should be first on the inspection list.</w:t>
      </w:r>
    </w:p>
    <w:p w14:paraId="032CCAB1" w14:textId="77777777" w:rsidR="003252E5" w:rsidRPr="003252E5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3252E5">
        <w:rPr>
          <w:rFonts w:ascii="Calibri" w:hAnsi="Calibri" w:cs="Calibri"/>
          <w:color w:val="004F88"/>
          <w:sz w:val="24"/>
          <w:szCs w:val="22"/>
        </w:rPr>
        <w:t>Insight 2: Operations are handling more risk than the safety team</w:t>
      </w:r>
    </w:p>
    <w:p w14:paraId="68689901" w14:textId="13989ECC" w:rsidR="003252E5" w:rsidRPr="003252E5" w:rsidRDefault="003252E5" w:rsidP="003252E5">
      <w:pPr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Operations cover</w:t>
      </w:r>
      <w:r>
        <w:rPr>
          <w:rFonts w:ascii="Calibri" w:hAnsi="Calibri" w:cs="Calibri"/>
          <w:color w:val="404040" w:themeColor="text1" w:themeTint="BF"/>
        </w:rPr>
        <w:t xml:space="preserve"> </w:t>
      </w:r>
      <w:r w:rsidRPr="003252E5">
        <w:rPr>
          <w:rFonts w:ascii="Calibri" w:hAnsi="Calibri" w:cs="Calibri"/>
          <w:color w:val="404040" w:themeColor="text1" w:themeTint="BF"/>
        </w:rPr>
        <w:t>42% of the total risk-weighted workload, while Process Safety — whose actual job is to manage risk — only handles 19%. Worth asking why more of this isn't going to the specialized team.</w:t>
      </w:r>
    </w:p>
    <w:p w14:paraId="7F50F256" w14:textId="77777777" w:rsidR="00C26372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F6014D">
        <w:rPr>
          <w:rFonts w:ascii="Calibri" w:hAnsi="Calibri" w:cs="Calibri"/>
          <w:color w:val="004F88"/>
          <w:sz w:val="24"/>
          <w:szCs w:val="22"/>
        </w:rPr>
        <w:lastRenderedPageBreak/>
        <w:t>Insight 3: A small set of causes keep repeating</w:t>
      </w:r>
    </w:p>
    <w:p w14:paraId="3744902B" w14:textId="7DC81169" w:rsidR="003252E5" w:rsidRPr="00C26372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3252E5">
        <w:rPr>
          <w:rFonts w:ascii="Calibri" w:hAnsi="Calibri" w:cs="Calibri"/>
          <w:color w:val="404040" w:themeColor="text1" w:themeTint="BF"/>
        </w:rPr>
        <w:t>Utility Failure (24) and Operator Error (21) show up way more than anything else. These aren't one-off accidents — they're recurring patterns, which usually means better training or maintenance schedules could cut a good chunk of them out.</w:t>
      </w:r>
    </w:p>
    <w:p w14:paraId="5C5B9F48" w14:textId="77777777" w:rsidR="003252E5" w:rsidRPr="00F6014D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F6014D">
        <w:rPr>
          <w:rFonts w:ascii="Calibri" w:hAnsi="Calibri" w:cs="Calibri"/>
          <w:color w:val="004F88"/>
          <w:sz w:val="24"/>
          <w:szCs w:val="22"/>
        </w:rPr>
        <w:t>Insight 4: Only 1 in 4 risks actually gets fully closed</w:t>
      </w:r>
    </w:p>
    <w:p w14:paraId="41FA68F2" w14:textId="77777777" w:rsidR="003252E5" w:rsidRPr="003252E5" w:rsidRDefault="003252E5" w:rsidP="003252E5">
      <w:pPr>
        <w:rPr>
          <w:rFonts w:ascii="Calibri" w:hAnsi="Calibri" w:cs="Calibri"/>
          <w:color w:val="404040" w:themeColor="text1" w:themeTint="BF"/>
        </w:rPr>
      </w:pPr>
      <w:r w:rsidRPr="003252E5">
        <w:rPr>
          <w:rFonts w:ascii="Calibri" w:hAnsi="Calibri" w:cs="Calibri"/>
          <w:color w:val="404040" w:themeColor="text1" w:themeTint="BF"/>
        </w:rPr>
        <w:t>Open (18%) and In Progress (32%) together make up half of all cases. Only 25% are marked Closed. For every four risks identified, only about one is actually resolved.</w:t>
      </w:r>
    </w:p>
    <w:p w14:paraId="3E98D2F2" w14:textId="77777777" w:rsidR="003252E5" w:rsidRPr="00F6014D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F6014D">
        <w:rPr>
          <w:rFonts w:ascii="Calibri" w:hAnsi="Calibri" w:cs="Calibri"/>
          <w:color w:val="004F88"/>
          <w:sz w:val="24"/>
          <w:szCs w:val="22"/>
        </w:rPr>
        <w:t>Insight 5: 1 in 8 risks has nobody responsible for it</w:t>
      </w:r>
    </w:p>
    <w:p w14:paraId="07E16F40" w14:textId="77777777" w:rsidR="003252E5" w:rsidRPr="00F6014D" w:rsidRDefault="003252E5" w:rsidP="003252E5">
      <w:pPr>
        <w:rPr>
          <w:rFonts w:ascii="Calibri" w:hAnsi="Calibri" w:cs="Calibri"/>
          <w:color w:val="404040" w:themeColor="text1" w:themeTint="BF"/>
        </w:rPr>
      </w:pPr>
      <w:r w:rsidRPr="00F6014D">
        <w:rPr>
          <w:rFonts w:ascii="Calibri" w:hAnsi="Calibri" w:cs="Calibri"/>
          <w:color w:val="404040" w:themeColor="text1" w:themeTint="BF"/>
        </w:rPr>
        <w:t>158 entries (12%) have no team assigned at all. Without an owner, these are the ones most likely to slip through the cracks and never get followed up on.</w:t>
      </w:r>
    </w:p>
    <w:p w14:paraId="6E759BDA" w14:textId="77777777" w:rsidR="003252E5" w:rsidRPr="00F6014D" w:rsidRDefault="003252E5" w:rsidP="003252E5">
      <w:pPr>
        <w:rPr>
          <w:rFonts w:ascii="Calibri" w:hAnsi="Calibri" w:cs="Calibri"/>
          <w:color w:val="004F88"/>
          <w:sz w:val="24"/>
          <w:szCs w:val="22"/>
        </w:rPr>
      </w:pPr>
      <w:r w:rsidRPr="00F6014D">
        <w:rPr>
          <w:rFonts w:ascii="Calibri" w:hAnsi="Calibri" w:cs="Calibri"/>
          <w:color w:val="004F88"/>
          <w:sz w:val="24"/>
          <w:szCs w:val="22"/>
        </w:rPr>
        <w:t>Insight 6: The backlog keeps growing month after month</w:t>
      </w:r>
    </w:p>
    <w:p w14:paraId="30E8DD7A" w14:textId="77777777" w:rsidR="003252E5" w:rsidRPr="00F6014D" w:rsidRDefault="003252E5" w:rsidP="003252E5">
      <w:pPr>
        <w:rPr>
          <w:rFonts w:ascii="Calibri" w:hAnsi="Calibri" w:cs="Calibri"/>
          <w:color w:val="404040" w:themeColor="text1" w:themeTint="BF"/>
        </w:rPr>
      </w:pPr>
      <w:r w:rsidRPr="00F6014D">
        <w:rPr>
          <w:rFonts w:ascii="Calibri" w:hAnsi="Calibri" w:cs="Calibri"/>
          <w:color w:val="404040" w:themeColor="text1" w:themeTint="BF"/>
        </w:rPr>
        <w:t>Looking at the cumulative trend, In Progress and Open cases keep climbing faster than Closed ones. The gap between what's found and what's fixed keeps widening — not a good sign if it keeps going.</w:t>
      </w:r>
    </w:p>
    <w:p w14:paraId="56121AB4" w14:textId="405A031C" w:rsidR="00F6014D" w:rsidRPr="001D27B8" w:rsidRDefault="001D27B8" w:rsidP="001D27B8">
      <w:pPr>
        <w:pBdr>
          <w:bottom w:val="single" w:sz="4" w:space="1" w:color="auto"/>
        </w:pBdr>
        <w:rPr>
          <w:rFonts w:ascii="Calibri" w:hAnsi="Calibri" w:cs="Calibri"/>
          <w:b/>
          <w:bCs/>
          <w:color w:val="004F88"/>
          <w:sz w:val="28"/>
          <w:szCs w:val="24"/>
        </w:rPr>
      </w:pPr>
      <w:r>
        <w:rPr>
          <w:rFonts w:ascii="Calibri" w:hAnsi="Calibri" w:cs="Calibri"/>
          <w:b/>
          <w:bCs/>
          <w:color w:val="004F88"/>
          <w:sz w:val="28"/>
          <w:szCs w:val="24"/>
        </w:rPr>
        <w:t xml:space="preserve">5 </w:t>
      </w:r>
      <w:r w:rsidR="00F6014D" w:rsidRPr="001D27B8">
        <w:rPr>
          <w:rFonts w:ascii="Calibri" w:hAnsi="Calibri" w:cs="Calibri"/>
          <w:b/>
          <w:bCs/>
          <w:color w:val="004F88"/>
          <w:sz w:val="28"/>
          <w:szCs w:val="24"/>
        </w:rPr>
        <w:t>Dashboard Screenshot</w:t>
      </w:r>
      <w:r w:rsidR="00F6014D" w:rsidRPr="001D27B8">
        <w:rPr>
          <w:rFonts w:ascii="Calibri" w:hAnsi="Calibri" w:cs="Calibri"/>
          <w:b/>
          <w:bCs/>
          <w:color w:val="004F88"/>
          <w:sz w:val="28"/>
          <w:szCs w:val="24"/>
        </w:rPr>
        <w:t>:</w:t>
      </w:r>
    </w:p>
    <w:p w14:paraId="0CA2A45D" w14:textId="22AF12DB" w:rsidR="00F6014D" w:rsidRPr="00F6014D" w:rsidRDefault="00F6014D" w:rsidP="00F6014D">
      <w:pPr>
        <w:rPr>
          <w:rFonts w:ascii="Calibri" w:hAnsi="Calibri" w:cs="Calibri"/>
          <w:b/>
          <w:bCs/>
          <w:color w:val="00204F"/>
          <w:sz w:val="28"/>
          <w:szCs w:val="24"/>
        </w:rPr>
      </w:pPr>
      <w:r>
        <w:rPr>
          <w:rFonts w:ascii="Calibri" w:hAnsi="Calibri" w:cs="Calibri"/>
          <w:b/>
          <w:bCs/>
          <w:noProof/>
          <w:color w:val="00204F"/>
          <w:sz w:val="28"/>
          <w:szCs w:val="24"/>
        </w:rPr>
        <w:drawing>
          <wp:inline distT="0" distB="0" distL="0" distR="0" wp14:anchorId="31732BE2" wp14:editId="06D41B52">
            <wp:extent cx="5731510" cy="2880995"/>
            <wp:effectExtent l="0" t="0" r="2540" b="0"/>
            <wp:docPr id="39257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1680" name="Picture 3925716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8865" w14:textId="75606841" w:rsidR="00C26372" w:rsidRPr="001D27B8" w:rsidRDefault="001D27B8" w:rsidP="001D27B8">
      <w:pPr>
        <w:pBdr>
          <w:bottom w:val="single" w:sz="4" w:space="1" w:color="auto"/>
        </w:pBdr>
        <w:rPr>
          <w:rFonts w:ascii="Calibri" w:hAnsi="Calibri" w:cs="Calibri"/>
          <w:b/>
          <w:bCs/>
          <w:color w:val="004F88"/>
          <w:sz w:val="28"/>
          <w:szCs w:val="24"/>
        </w:rPr>
      </w:pPr>
      <w:r>
        <w:rPr>
          <w:rFonts w:ascii="Calibri" w:hAnsi="Calibri" w:cs="Calibri"/>
          <w:b/>
          <w:bCs/>
          <w:color w:val="004F88"/>
          <w:sz w:val="28"/>
          <w:szCs w:val="24"/>
        </w:rPr>
        <w:t xml:space="preserve">6 </w:t>
      </w:r>
      <w:r w:rsidR="00C26372" w:rsidRPr="001D27B8">
        <w:rPr>
          <w:rFonts w:ascii="Calibri" w:hAnsi="Calibri" w:cs="Calibri"/>
          <w:b/>
          <w:bCs/>
          <w:color w:val="004F88"/>
          <w:sz w:val="28"/>
          <w:szCs w:val="24"/>
        </w:rPr>
        <w:t>Recommendations</w:t>
      </w:r>
      <w:r w:rsidR="00C26372" w:rsidRPr="001D27B8">
        <w:rPr>
          <w:rFonts w:ascii="Calibri" w:hAnsi="Calibri" w:cs="Calibri"/>
          <w:b/>
          <w:bCs/>
          <w:color w:val="004F88"/>
          <w:sz w:val="28"/>
          <w:szCs w:val="24"/>
        </w:rPr>
        <w:t>:</w:t>
      </w:r>
    </w:p>
    <w:p w14:paraId="7E33997D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</w:rPr>
      </w:pPr>
      <w:r w:rsidRPr="00C26372">
        <w:rPr>
          <w:rFonts w:ascii="Calibri" w:hAnsi="Calibri" w:cs="Calibri"/>
          <w:color w:val="404040" w:themeColor="text1" w:themeTint="BF"/>
        </w:rPr>
        <w:t>•  Prioritize inspection and mitigation resources on Feed Line to R-101 and Separator V-701, the two highest-risk nodes.</w:t>
      </w:r>
    </w:p>
    <w:p w14:paraId="1C9447D9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</w:rPr>
      </w:pPr>
      <w:r w:rsidRPr="00C26372">
        <w:rPr>
          <w:rFonts w:ascii="Calibri" w:hAnsi="Calibri" w:cs="Calibri"/>
          <w:color w:val="404040" w:themeColor="text1" w:themeTint="BF"/>
        </w:rPr>
        <w:t>•  Reassess workload distribution between Operations and Process Safety so specialized risk owners handle more high-risk items.</w:t>
      </w:r>
    </w:p>
    <w:p w14:paraId="7F9517FC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</w:rPr>
      </w:pPr>
      <w:r w:rsidRPr="00C26372">
        <w:rPr>
          <w:rFonts w:ascii="Calibri" w:hAnsi="Calibri" w:cs="Calibri"/>
          <w:color w:val="404040" w:themeColor="text1" w:themeTint="BF"/>
        </w:rPr>
        <w:t>•  Target recurring causes — Utility Failure and Operator Error — with focused training and preventive maintenance.</w:t>
      </w:r>
    </w:p>
    <w:p w14:paraId="4EF94D74" w14:textId="77777777" w:rsidR="00C26372" w:rsidRDefault="00C26372" w:rsidP="00C26372">
      <w:pPr>
        <w:rPr>
          <w:rFonts w:ascii="Calibri" w:hAnsi="Calibri" w:cs="Calibri"/>
          <w:color w:val="404040" w:themeColor="text1" w:themeTint="BF"/>
        </w:rPr>
      </w:pPr>
      <w:r w:rsidRPr="00C26372">
        <w:rPr>
          <w:rFonts w:ascii="Calibri" w:hAnsi="Calibri" w:cs="Calibri"/>
          <w:color w:val="404040" w:themeColor="text1" w:themeTint="BF"/>
        </w:rPr>
        <w:t>•  Set a review cadence to close the backlog of Open/In Progress actions faster than new ones are identified.</w:t>
      </w:r>
    </w:p>
    <w:p w14:paraId="6C20A2DF" w14:textId="2D4F1C31" w:rsidR="00C26372" w:rsidRPr="00C26372" w:rsidRDefault="00C26372" w:rsidP="00C26372">
      <w:pPr>
        <w:rPr>
          <w:rFonts w:ascii="Calibri" w:hAnsi="Calibri" w:cs="Calibri"/>
          <w:color w:val="404040" w:themeColor="text1" w:themeTint="BF"/>
        </w:rPr>
      </w:pPr>
      <w:r w:rsidRPr="00C26372">
        <w:rPr>
          <w:rFonts w:ascii="Calibri" w:hAnsi="Calibri" w:cs="Calibri"/>
          <w:color w:val="404040" w:themeColor="text1" w:themeTint="BF"/>
        </w:rPr>
        <w:lastRenderedPageBreak/>
        <w:t>•  Make the Responsible Team field mandatory going forward so no identified risk is left without an owner.</w:t>
      </w:r>
    </w:p>
    <w:p w14:paraId="71771AD2" w14:textId="186FDD1F" w:rsidR="00C26372" w:rsidRDefault="00C26372" w:rsidP="00C26372">
      <w:pPr>
        <w:rPr>
          <w:rFonts w:ascii="Calibri" w:hAnsi="Calibri" w:cs="Calibri"/>
          <w:b/>
          <w:bCs/>
          <w:color w:val="00204F"/>
          <w:sz w:val="28"/>
          <w:szCs w:val="24"/>
        </w:rPr>
      </w:pPr>
      <w:r w:rsidRPr="00C26372">
        <w:rPr>
          <w:rFonts w:ascii="Calibri" w:hAnsi="Calibri" w:cs="Calibri"/>
          <w:b/>
          <w:bCs/>
          <w:color w:val="00204F"/>
          <w:sz w:val="28"/>
          <w:szCs w:val="24"/>
        </w:rPr>
        <w:t>Case Study with Stakeholder</w:t>
      </w:r>
      <w:r>
        <w:rPr>
          <w:rFonts w:ascii="Calibri" w:hAnsi="Calibri" w:cs="Calibri"/>
          <w:b/>
          <w:bCs/>
          <w:color w:val="00204F"/>
          <w:sz w:val="28"/>
          <w:szCs w:val="24"/>
        </w:rPr>
        <w:t>:</w:t>
      </w:r>
    </w:p>
    <w:p w14:paraId="5756C0DA" w14:textId="77777777" w:rsidR="00C26372" w:rsidRPr="00C26372" w:rsidRDefault="00C26372" w:rsidP="00C26372">
      <w:pPr>
        <w:rPr>
          <w:rFonts w:ascii="Calibri" w:hAnsi="Calibri" w:cs="Calibri"/>
          <w:b/>
          <w:bCs/>
          <w:color w:val="004F88"/>
          <w:sz w:val="24"/>
          <w:szCs w:val="24"/>
        </w:rPr>
      </w:pPr>
      <w:r w:rsidRPr="00C26372">
        <w:rPr>
          <w:rFonts w:ascii="Calibri" w:hAnsi="Calibri" w:cs="Calibri"/>
          <w:b/>
          <w:bCs/>
          <w:color w:val="004F88"/>
          <w:sz w:val="24"/>
          <w:szCs w:val="24"/>
        </w:rPr>
        <w:t>Stakeholder: Plant Safety Manager</w:t>
      </w:r>
    </w:p>
    <w:p w14:paraId="31C9E39E" w14:textId="77777777" w:rsidR="00C26372" w:rsidRDefault="00C26372" w:rsidP="00C26372">
      <w:pPr>
        <w:rPr>
          <w:rFonts w:ascii="Calibri" w:hAnsi="Calibri" w:cs="Calibri"/>
          <w:color w:val="404040" w:themeColor="text1" w:themeTint="BF"/>
          <w:szCs w:val="22"/>
        </w:rPr>
      </w:pPr>
      <w:r w:rsidRPr="00C26372">
        <w:rPr>
          <w:rFonts w:ascii="Calibri" w:hAnsi="Calibri" w:cs="Calibri"/>
          <w:color w:val="404040" w:themeColor="text1" w:themeTint="BF"/>
          <w:szCs w:val="22"/>
        </w:rPr>
        <w:t>"Our HAZOP backlog keeps growing every month and I don't know which equipment needs attention first, or why our follow-up rate on identified risks is so low."</w:t>
      </w:r>
    </w:p>
    <w:p w14:paraId="715C79C7" w14:textId="77777777" w:rsidR="00C26372" w:rsidRDefault="00C26372" w:rsidP="00C26372">
      <w:pPr>
        <w:rPr>
          <w:rFonts w:ascii="Calibri" w:hAnsi="Calibri" w:cs="Calibri"/>
          <w:color w:val="004F88"/>
          <w:sz w:val="24"/>
          <w:szCs w:val="24"/>
        </w:rPr>
      </w:pPr>
      <w:r w:rsidRPr="00C26372">
        <w:rPr>
          <w:rFonts w:ascii="Calibri" w:hAnsi="Calibri" w:cs="Calibri"/>
          <w:color w:val="004F88"/>
          <w:sz w:val="24"/>
          <w:szCs w:val="24"/>
        </w:rPr>
        <w:t>Approach</w:t>
      </w:r>
    </w:p>
    <w:p w14:paraId="6D1EBACD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  <w:szCs w:val="22"/>
        </w:rPr>
      </w:pPr>
      <w:r w:rsidRPr="00C26372">
        <w:rPr>
          <w:rFonts w:ascii="Calibri" w:hAnsi="Calibri" w:cs="Calibri"/>
          <w:color w:val="404040" w:themeColor="text1" w:themeTint="BF"/>
          <w:szCs w:val="22"/>
        </w:rPr>
        <w:t>Cleaned and standardized a 164-entry HAZOP dataset in Power Query, categorized every deviation by Node, Responsible Team, and Status, and built a single-page dashboard with slicers so the manager could filter by equipment, team, or date range and see live risk exposure and backlog status.</w:t>
      </w:r>
    </w:p>
    <w:p w14:paraId="573FA9C9" w14:textId="77777777" w:rsidR="00C26372" w:rsidRDefault="00C26372" w:rsidP="00C26372">
      <w:pPr>
        <w:rPr>
          <w:rFonts w:ascii="Calibri" w:hAnsi="Calibri" w:cs="Calibri"/>
          <w:color w:val="004F88"/>
          <w:sz w:val="24"/>
          <w:szCs w:val="24"/>
        </w:rPr>
      </w:pPr>
      <w:r w:rsidRPr="00C26372">
        <w:rPr>
          <w:rFonts w:ascii="Calibri" w:hAnsi="Calibri" w:cs="Calibri"/>
          <w:color w:val="004F88"/>
          <w:sz w:val="24"/>
          <w:szCs w:val="24"/>
        </w:rPr>
        <w:t>Findings</w:t>
      </w:r>
    </w:p>
    <w:p w14:paraId="74692F42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  <w:szCs w:val="22"/>
        </w:rPr>
      </w:pPr>
      <w:r w:rsidRPr="00C26372">
        <w:rPr>
          <w:rFonts w:ascii="Calibri" w:hAnsi="Calibri" w:cs="Calibri"/>
          <w:color w:val="404040" w:themeColor="text1" w:themeTint="BF"/>
          <w:szCs w:val="22"/>
        </w:rPr>
        <w:t>The dashboard showed that Feed Line to R-101 and Separator V-701 carry the highest cumulative risk, that Operations is carrying more risk-weighted workload than the specialized Process Safety team, and that only 1 in 4 identified risks are fully closed — with the backlog of Open and In Progress items widening month over month.</w:t>
      </w:r>
    </w:p>
    <w:p w14:paraId="783C1260" w14:textId="77777777" w:rsidR="00C26372" w:rsidRDefault="00C26372" w:rsidP="00C26372">
      <w:pPr>
        <w:rPr>
          <w:rFonts w:ascii="Calibri" w:hAnsi="Calibri" w:cs="Calibri"/>
          <w:color w:val="004F88"/>
          <w:sz w:val="24"/>
          <w:szCs w:val="24"/>
        </w:rPr>
      </w:pPr>
      <w:r w:rsidRPr="00C26372">
        <w:rPr>
          <w:rFonts w:ascii="Calibri" w:hAnsi="Calibri" w:cs="Calibri"/>
          <w:color w:val="004F88"/>
          <w:sz w:val="24"/>
          <w:szCs w:val="24"/>
        </w:rPr>
        <w:t>Recommendation</w:t>
      </w:r>
    </w:p>
    <w:p w14:paraId="66B5AAB3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  <w:szCs w:val="22"/>
        </w:rPr>
      </w:pPr>
      <w:r w:rsidRPr="00C26372">
        <w:rPr>
          <w:rFonts w:ascii="Calibri" w:hAnsi="Calibri" w:cs="Calibri"/>
          <w:color w:val="404040" w:themeColor="text1" w:themeTint="BF"/>
          <w:szCs w:val="22"/>
        </w:rPr>
        <w:t>Process Safety should take direct ownership of the highest-risk nodes (Feed Line to R-101, Separator V-701), and the Responsible Team field should become mandatory at the point of data entry so no identified risk is left without a clear owner — this alone would remove the 12% of cases that currently have nobody assigned to follow up on them.</w:t>
      </w:r>
    </w:p>
    <w:p w14:paraId="3C569738" w14:textId="77777777" w:rsidR="00C26372" w:rsidRPr="00C26372" w:rsidRDefault="00C26372" w:rsidP="00C26372">
      <w:pPr>
        <w:rPr>
          <w:rFonts w:ascii="Calibri" w:hAnsi="Calibri" w:cs="Calibri"/>
          <w:color w:val="595959" w:themeColor="text1" w:themeTint="A6"/>
          <w:sz w:val="24"/>
          <w:szCs w:val="24"/>
        </w:rPr>
      </w:pPr>
    </w:p>
    <w:p w14:paraId="370D62EB" w14:textId="77777777" w:rsidR="00C26372" w:rsidRPr="00C26372" w:rsidRDefault="00C26372" w:rsidP="00C26372">
      <w:pPr>
        <w:rPr>
          <w:rFonts w:ascii="Calibri" w:hAnsi="Calibri" w:cs="Calibri"/>
          <w:color w:val="595959" w:themeColor="text1" w:themeTint="A6"/>
          <w:sz w:val="24"/>
          <w:szCs w:val="24"/>
        </w:rPr>
      </w:pPr>
    </w:p>
    <w:p w14:paraId="0F863554" w14:textId="77777777" w:rsidR="00C26372" w:rsidRPr="00C26372" w:rsidRDefault="00C26372" w:rsidP="00C26372">
      <w:pPr>
        <w:rPr>
          <w:rFonts w:ascii="Calibri" w:hAnsi="Calibri" w:cs="Calibri"/>
          <w:color w:val="004F88"/>
          <w:sz w:val="24"/>
          <w:szCs w:val="24"/>
        </w:rPr>
      </w:pPr>
    </w:p>
    <w:p w14:paraId="1EADE066" w14:textId="77777777" w:rsidR="00C26372" w:rsidRPr="00C26372" w:rsidRDefault="00C26372" w:rsidP="00C26372">
      <w:pPr>
        <w:rPr>
          <w:rFonts w:ascii="Calibri" w:hAnsi="Calibri" w:cs="Calibri"/>
          <w:color w:val="404040" w:themeColor="text1" w:themeTint="BF"/>
          <w:szCs w:val="22"/>
        </w:rPr>
      </w:pPr>
    </w:p>
    <w:p w14:paraId="3DD6A920" w14:textId="77777777" w:rsidR="00C26372" w:rsidRPr="00C26372" w:rsidRDefault="00C26372" w:rsidP="00C26372">
      <w:pPr>
        <w:rPr>
          <w:rFonts w:ascii="Calibri" w:hAnsi="Calibri" w:cs="Calibri"/>
          <w:color w:val="004F88"/>
          <w:sz w:val="24"/>
          <w:szCs w:val="24"/>
        </w:rPr>
      </w:pPr>
    </w:p>
    <w:p w14:paraId="2DE2518E" w14:textId="77777777" w:rsidR="00C26372" w:rsidRPr="00C26372" w:rsidRDefault="00C26372" w:rsidP="00C26372">
      <w:pPr>
        <w:rPr>
          <w:rFonts w:ascii="Calibri" w:hAnsi="Calibri" w:cs="Calibri"/>
          <w:b/>
          <w:bCs/>
          <w:color w:val="00204F"/>
          <w:sz w:val="28"/>
          <w:szCs w:val="24"/>
        </w:rPr>
      </w:pPr>
    </w:p>
    <w:p w14:paraId="3FD5DE50" w14:textId="77777777" w:rsidR="00C26372" w:rsidRPr="00C26372" w:rsidRDefault="00C26372" w:rsidP="00C26372">
      <w:pPr>
        <w:rPr>
          <w:rFonts w:ascii="Calibri" w:hAnsi="Calibri" w:cs="Calibri"/>
          <w:b/>
          <w:bCs/>
          <w:color w:val="00204F"/>
          <w:sz w:val="28"/>
          <w:szCs w:val="24"/>
        </w:rPr>
      </w:pPr>
    </w:p>
    <w:p w14:paraId="03ABE15D" w14:textId="77777777" w:rsidR="003252E5" w:rsidRDefault="003252E5" w:rsidP="003252E5">
      <w:pPr>
        <w:rPr>
          <w:rFonts w:ascii="Calibri" w:hAnsi="Calibri" w:cs="Calibri"/>
          <w:b/>
          <w:bCs/>
          <w:color w:val="00204F"/>
          <w:sz w:val="28"/>
          <w:szCs w:val="24"/>
        </w:rPr>
      </w:pPr>
    </w:p>
    <w:p w14:paraId="26961434" w14:textId="77777777" w:rsidR="003252E5" w:rsidRPr="003252E5" w:rsidRDefault="003252E5" w:rsidP="003252E5">
      <w:pPr>
        <w:rPr>
          <w:rFonts w:ascii="Calibri" w:hAnsi="Calibri" w:cs="Calibri"/>
          <w:color w:val="00204F"/>
          <w:sz w:val="28"/>
          <w:szCs w:val="24"/>
        </w:rPr>
      </w:pPr>
    </w:p>
    <w:p w14:paraId="625EFE75" w14:textId="77777777" w:rsidR="003252E5" w:rsidRPr="003252E5" w:rsidRDefault="003252E5" w:rsidP="002676EB">
      <w:pPr>
        <w:rPr>
          <w:rFonts w:ascii="Calibri" w:hAnsi="Calibri" w:cs="Calibri"/>
          <w:color w:val="004F88"/>
          <w:sz w:val="28"/>
          <w:szCs w:val="24"/>
        </w:rPr>
      </w:pPr>
    </w:p>
    <w:p w14:paraId="34CF2863" w14:textId="226F9C4D" w:rsidR="002676EB" w:rsidRPr="002676EB" w:rsidRDefault="002676EB" w:rsidP="002676EB"/>
    <w:p w14:paraId="5E0005FB" w14:textId="77777777" w:rsidR="00920794" w:rsidRPr="002676EB" w:rsidRDefault="00920794" w:rsidP="002676EB">
      <w:pPr>
        <w:rPr>
          <w:sz w:val="28"/>
          <w:szCs w:val="24"/>
        </w:rPr>
      </w:pPr>
    </w:p>
    <w:sectPr w:rsidR="00920794" w:rsidRPr="002676EB" w:rsidSect="002676E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E7385"/>
    <w:multiLevelType w:val="hybridMultilevel"/>
    <w:tmpl w:val="7D80FBE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BCFC4E">
      <w:numFmt w:val="bullet"/>
      <w:lvlText w:val="•"/>
      <w:lvlJc w:val="left"/>
      <w:pPr>
        <w:ind w:left="1222" w:hanging="360"/>
      </w:pPr>
      <w:rPr>
        <w:rFonts w:ascii="Aptos" w:eastAsiaTheme="minorHAnsi" w:hAnsi="Aptos" w:cs="Mangal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45753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6EB"/>
    <w:rsid w:val="001D27B8"/>
    <w:rsid w:val="002676EB"/>
    <w:rsid w:val="003252E5"/>
    <w:rsid w:val="00786542"/>
    <w:rsid w:val="00920794"/>
    <w:rsid w:val="00C26372"/>
    <w:rsid w:val="00CF19C9"/>
    <w:rsid w:val="00F6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8C88"/>
  <w15:chartTrackingRefBased/>
  <w15:docId w15:val="{421664ED-54B2-4EC8-A770-81E0BB3C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6E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6E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6E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76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76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6E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6E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kumar</dc:creator>
  <cp:keywords/>
  <dc:description/>
  <cp:lastModifiedBy>vicky kumar</cp:lastModifiedBy>
  <cp:revision>1</cp:revision>
  <dcterms:created xsi:type="dcterms:W3CDTF">2026-08-16T08:12:00Z</dcterms:created>
  <dcterms:modified xsi:type="dcterms:W3CDTF">2026-08-16T09:52:00Z</dcterms:modified>
</cp:coreProperties>
</file>