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D6A1A" w14:textId="568B1FD3" w:rsidR="00920794" w:rsidRPr="00C641AC" w:rsidRDefault="00C641AC" w:rsidP="00C641AC">
      <w:pPr>
        <w:rPr>
          <w:rFonts w:ascii="Calibri" w:hAnsi="Calibri" w:cs="Calibri"/>
          <w:b/>
          <w:bCs/>
          <w:color w:val="004E9A"/>
          <w:sz w:val="44"/>
          <w:szCs w:val="40"/>
        </w:rPr>
      </w:pPr>
      <w:r w:rsidRPr="00C641AC">
        <w:rPr>
          <w:rFonts w:ascii="Calibri" w:hAnsi="Calibri" w:cs="Calibri"/>
          <w:b/>
          <w:bCs/>
          <w:color w:val="004E9A"/>
          <w:sz w:val="44"/>
          <w:szCs w:val="40"/>
        </w:rPr>
        <w:t>Loan Default &amp; Credit Risk Analysis Dashboard</w:t>
      </w:r>
    </w:p>
    <w:p w14:paraId="3205DED0" w14:textId="0DE84A68" w:rsidR="00C641AC" w:rsidRDefault="00C641AC" w:rsidP="00C641AC">
      <w:pPr>
        <w:pBdr>
          <w:bottom w:val="single" w:sz="4" w:space="1" w:color="auto"/>
        </w:pBdr>
        <w:rPr>
          <w:rFonts w:ascii="Calibri" w:hAnsi="Calibri" w:cs="Calibri"/>
          <w:color w:val="747474" w:themeColor="background2" w:themeShade="80"/>
          <w:sz w:val="36"/>
          <w:szCs w:val="36"/>
        </w:rPr>
      </w:pPr>
      <w:r w:rsidRPr="00C641AC">
        <w:rPr>
          <w:rFonts w:ascii="Calibri" w:hAnsi="Calibri" w:cs="Calibri"/>
          <w:color w:val="747474" w:themeColor="background2" w:themeShade="80"/>
          <w:sz w:val="36"/>
          <w:szCs w:val="36"/>
        </w:rPr>
        <w:t>Business Analysis – Key Findings</w:t>
      </w:r>
    </w:p>
    <w:p w14:paraId="1FC1630B" w14:textId="44B169C8" w:rsidR="00506CDF" w:rsidRPr="00506CDF" w:rsidRDefault="00C641AC" w:rsidP="00506CDF">
      <w:pPr>
        <w:rPr>
          <w:rFonts w:ascii="Calibri" w:hAnsi="Calibri" w:cs="Calibri"/>
          <w:color w:val="404040" w:themeColor="text1" w:themeTint="BF"/>
          <w:szCs w:val="22"/>
        </w:rPr>
      </w:pPr>
      <w:r w:rsidRPr="00506CDF">
        <w:rPr>
          <w:rFonts w:ascii="Calibri" w:hAnsi="Calibri" w:cs="Calibri"/>
          <w:color w:val="007BB8"/>
          <w:sz w:val="28"/>
          <w:szCs w:val="28"/>
        </w:rPr>
        <w:t xml:space="preserve">Insight 1: </w:t>
      </w:r>
      <w:r w:rsidR="00506CDF" w:rsidRPr="00506CDF">
        <w:rPr>
          <w:rFonts w:ascii="Calibri" w:hAnsi="Calibri" w:cs="Calibri"/>
          <w:color w:val="007BB8"/>
          <w:sz w:val="28"/>
          <w:szCs w:val="28"/>
        </w:rPr>
        <w:t>Lower loan grades have much higher default rates</w:t>
      </w:r>
      <w:r w:rsidR="00506CDF" w:rsidRPr="00506CDF">
        <w:rPr>
          <w:rFonts w:ascii="Calibri" w:hAnsi="Calibri" w:cs="Calibri"/>
          <w:color w:val="007BB8"/>
          <w:sz w:val="28"/>
          <w:szCs w:val="28"/>
        </w:rPr>
        <w:br/>
      </w:r>
      <w:r w:rsidR="00506CDF" w:rsidRPr="00506CDF">
        <w:rPr>
          <w:rFonts w:ascii="Calibri" w:hAnsi="Calibri" w:cs="Calibri"/>
          <w:color w:val="404040" w:themeColor="text1" w:themeTint="BF"/>
          <w:szCs w:val="22"/>
        </w:rPr>
        <w:t>Grade A loans default only 9.96% of the time. Grade G loans default 98.44% of the time — almost all of them.</w:t>
      </w:r>
      <w:r w:rsidR="00506CDF" w:rsidRPr="00506CDF">
        <w:rPr>
          <w:rFonts w:ascii="Calibri" w:hAnsi="Calibri" w:cs="Calibri"/>
          <w:sz w:val="36"/>
          <w:szCs w:val="36"/>
        </w:rPr>
        <w:br/>
      </w:r>
      <w:r w:rsidR="00506CDF" w:rsidRPr="00506CDF">
        <w:rPr>
          <w:rFonts w:ascii="Calibri" w:hAnsi="Calibri" w:cs="Calibri"/>
          <w:b/>
          <w:bCs/>
          <w:color w:val="262626" w:themeColor="text1" w:themeTint="D9"/>
          <w:szCs w:val="22"/>
        </w:rPr>
        <w:t>So what:</w:t>
      </w:r>
      <w:r w:rsidR="00506CDF" w:rsidRPr="00506CDF">
        <w:rPr>
          <w:rFonts w:ascii="Calibri" w:hAnsi="Calibri" w:cs="Calibri"/>
          <w:color w:val="262626" w:themeColor="text1" w:themeTint="D9"/>
          <w:sz w:val="36"/>
          <w:szCs w:val="36"/>
        </w:rPr>
        <w:t xml:space="preserve"> </w:t>
      </w:r>
      <w:r w:rsidR="00506CDF" w:rsidRPr="00506CDF">
        <w:rPr>
          <w:rFonts w:ascii="Calibri" w:hAnsi="Calibri" w:cs="Calibri"/>
          <w:color w:val="404040" w:themeColor="text1" w:themeTint="BF"/>
          <w:szCs w:val="22"/>
        </w:rPr>
        <w:t>Grade F and G loans are very risky. The company should either stop giving these loans or ask for extra security before approving them.</w:t>
      </w:r>
    </w:p>
    <w:p w14:paraId="5901509F" w14:textId="77CBB188" w:rsidR="00506CDF" w:rsidRPr="00506CDF" w:rsidRDefault="00506CDF" w:rsidP="00506CDF">
      <w:pPr>
        <w:rPr>
          <w:rFonts w:ascii="Calibri" w:hAnsi="Calibri" w:cs="Calibri"/>
          <w:color w:val="404040" w:themeColor="text1" w:themeTint="BF"/>
          <w:szCs w:val="22"/>
        </w:rPr>
      </w:pPr>
      <w:r w:rsidRPr="00506CDF">
        <w:rPr>
          <w:rFonts w:ascii="Calibri" w:hAnsi="Calibri" w:cs="Calibri"/>
          <w:color w:val="007BB8"/>
          <w:sz w:val="28"/>
          <w:szCs w:val="28"/>
        </w:rPr>
        <w:t>Insight 2: People who rent are more likely to default</w:t>
      </w:r>
      <w:r w:rsidRPr="00506CDF">
        <w:rPr>
          <w:rFonts w:ascii="Calibri" w:hAnsi="Calibri" w:cs="Calibri"/>
          <w:color w:val="007BB8"/>
          <w:sz w:val="28"/>
          <w:szCs w:val="28"/>
        </w:rPr>
        <w:br/>
      </w:r>
      <w:r w:rsidRPr="00506CDF">
        <w:rPr>
          <w:rFonts w:ascii="Calibri" w:hAnsi="Calibri" w:cs="Calibri"/>
          <w:color w:val="404040" w:themeColor="text1" w:themeTint="BF"/>
          <w:szCs w:val="22"/>
        </w:rPr>
        <w:t>Renter default 38% of the time. People who own their home default only 9% of the time.</w:t>
      </w:r>
      <w:r w:rsidRPr="00506CDF">
        <w:rPr>
          <w:rFonts w:ascii="Calibri" w:hAnsi="Calibri" w:cs="Calibri"/>
          <w:color w:val="404040" w:themeColor="text1" w:themeTint="BF"/>
          <w:szCs w:val="22"/>
        </w:rPr>
        <w:br/>
      </w:r>
      <w:r w:rsidRPr="00506CDF">
        <w:rPr>
          <w:rFonts w:ascii="Calibri" w:hAnsi="Calibri" w:cs="Calibri"/>
          <w:b/>
          <w:bCs/>
          <w:color w:val="262626" w:themeColor="text1" w:themeTint="D9"/>
          <w:szCs w:val="22"/>
        </w:rPr>
        <w:t>So what:</w:t>
      </w:r>
      <w:r w:rsidRPr="00506CDF">
        <w:rPr>
          <w:rFonts w:ascii="Calibri" w:hAnsi="Calibri" w:cs="Calibri"/>
          <w:sz w:val="36"/>
          <w:szCs w:val="36"/>
        </w:rPr>
        <w:t xml:space="preserve"> </w:t>
      </w:r>
      <w:r w:rsidRPr="00506CDF">
        <w:rPr>
          <w:rFonts w:ascii="Calibri" w:hAnsi="Calibri" w:cs="Calibri"/>
          <w:color w:val="404040" w:themeColor="text1" w:themeTint="BF"/>
          <w:szCs w:val="22"/>
        </w:rPr>
        <w:t>When approving a loan, the company should pay more attention to whether the person rents or owns a home.</w:t>
      </w:r>
    </w:p>
    <w:p w14:paraId="227EC35F" w14:textId="456500DA" w:rsidR="00506CDF" w:rsidRPr="00506CDF" w:rsidRDefault="00506CDF" w:rsidP="00506CDF">
      <w:pPr>
        <w:rPr>
          <w:rFonts w:ascii="Calibri" w:hAnsi="Calibri" w:cs="Calibri"/>
          <w:sz w:val="36"/>
          <w:szCs w:val="36"/>
        </w:rPr>
      </w:pPr>
      <w:r>
        <w:rPr>
          <w:rFonts w:ascii="Calibri" w:hAnsi="Calibri" w:cs="Calibri"/>
          <w:color w:val="007BB8"/>
          <w:sz w:val="28"/>
          <w:szCs w:val="28"/>
        </w:rPr>
        <w:t>Insight 3:</w:t>
      </w:r>
      <w:r w:rsidRPr="00506CDF">
        <w:rPr>
          <w:rFonts w:ascii="Calibri" w:hAnsi="Calibri" w:cs="Calibri"/>
          <w:color w:val="007BB8"/>
          <w:sz w:val="28"/>
          <w:szCs w:val="28"/>
        </w:rPr>
        <w:t xml:space="preserve"> The reason for the loan affects the risk too</w:t>
      </w:r>
      <w:r w:rsidRPr="00506CDF">
        <w:rPr>
          <w:rFonts w:ascii="Calibri" w:hAnsi="Calibri" w:cs="Calibri"/>
          <w:color w:val="007BB8"/>
          <w:sz w:val="28"/>
          <w:szCs w:val="28"/>
        </w:rPr>
        <w:br/>
      </w:r>
      <w:r w:rsidRPr="00506CDF">
        <w:rPr>
          <w:rFonts w:ascii="Calibri" w:hAnsi="Calibri" w:cs="Calibri"/>
          <w:color w:val="404040" w:themeColor="text1" w:themeTint="BF"/>
          <w:szCs w:val="22"/>
        </w:rPr>
        <w:t>Loans taken to pay off other debts (debt consolidation) default the most, at 28.59%. Loans taken to start a business default the least, at 14.82%.</w:t>
      </w:r>
      <w:r w:rsidRPr="00506CDF">
        <w:rPr>
          <w:rFonts w:ascii="Calibri" w:hAnsi="Calibri" w:cs="Calibri"/>
          <w:color w:val="404040" w:themeColor="text1" w:themeTint="BF"/>
          <w:szCs w:val="22"/>
        </w:rPr>
        <w:br/>
      </w:r>
      <w:r w:rsidRPr="00506CDF">
        <w:rPr>
          <w:rFonts w:ascii="Calibri" w:hAnsi="Calibri" w:cs="Calibri"/>
          <w:b/>
          <w:bCs/>
          <w:color w:val="262626" w:themeColor="text1" w:themeTint="D9"/>
          <w:szCs w:val="22"/>
        </w:rPr>
        <w:t>So what:</w:t>
      </w:r>
      <w:r w:rsidRPr="00506CDF">
        <w:rPr>
          <w:rFonts w:ascii="Calibri" w:hAnsi="Calibri" w:cs="Calibri"/>
          <w:sz w:val="36"/>
          <w:szCs w:val="36"/>
        </w:rPr>
        <w:t xml:space="preserve"> </w:t>
      </w:r>
      <w:r w:rsidRPr="00506CDF">
        <w:rPr>
          <w:rFonts w:ascii="Calibri" w:hAnsi="Calibri" w:cs="Calibri"/>
          <w:color w:val="404040" w:themeColor="text1" w:themeTint="BF"/>
          <w:szCs w:val="22"/>
        </w:rPr>
        <w:t>People asking for debt consolidation loans may already be in financial trouble. These applications need extra checking.</w:t>
      </w:r>
    </w:p>
    <w:p w14:paraId="7419E4A8" w14:textId="6F69DF72" w:rsidR="00506CDF" w:rsidRPr="00506CDF" w:rsidRDefault="00506CDF" w:rsidP="00506CDF">
      <w:pPr>
        <w:rPr>
          <w:rFonts w:ascii="Calibri" w:hAnsi="Calibri" w:cs="Calibri"/>
          <w:color w:val="404040" w:themeColor="text1" w:themeTint="BF"/>
          <w:szCs w:val="22"/>
        </w:rPr>
      </w:pPr>
      <w:r w:rsidRPr="00506CDF">
        <w:rPr>
          <w:rFonts w:ascii="Calibri" w:hAnsi="Calibri" w:cs="Calibri"/>
          <w:color w:val="007BB8"/>
          <w:sz w:val="28"/>
          <w:szCs w:val="28"/>
        </w:rPr>
        <w:t>Insight 4: About 1 in every 5 loans is defaulting</w:t>
      </w:r>
      <w:r w:rsidRPr="00506CDF">
        <w:rPr>
          <w:rFonts w:ascii="Calibri" w:hAnsi="Calibri" w:cs="Calibri"/>
          <w:color w:val="007BB8"/>
          <w:sz w:val="28"/>
          <w:szCs w:val="28"/>
        </w:rPr>
        <w:br/>
      </w:r>
      <w:r w:rsidRPr="00506CDF">
        <w:rPr>
          <w:rFonts w:ascii="Calibri" w:hAnsi="Calibri" w:cs="Calibri"/>
          <w:color w:val="404040" w:themeColor="text1" w:themeTint="BF"/>
          <w:szCs w:val="22"/>
        </w:rPr>
        <w:t>Out of 32,574 loans, 7,107 have defaulted. That's 22%, which is much higher than a normal, healthy rate (3-5%).</w:t>
      </w:r>
      <w:r w:rsidRPr="00506CDF">
        <w:rPr>
          <w:rFonts w:ascii="Calibri" w:hAnsi="Calibri" w:cs="Calibri"/>
          <w:color w:val="404040" w:themeColor="text1" w:themeTint="BF"/>
          <w:szCs w:val="22"/>
        </w:rPr>
        <w:br/>
      </w:r>
      <w:r w:rsidRPr="00506CDF">
        <w:rPr>
          <w:rFonts w:ascii="Calibri" w:hAnsi="Calibri" w:cs="Calibri"/>
          <w:b/>
          <w:bCs/>
          <w:color w:val="262626" w:themeColor="text1" w:themeTint="D9"/>
          <w:szCs w:val="22"/>
        </w:rPr>
        <w:t>So what:</w:t>
      </w:r>
      <w:r w:rsidRPr="00506CDF">
        <w:rPr>
          <w:rFonts w:ascii="Calibri" w:hAnsi="Calibri" w:cs="Calibri"/>
          <w:sz w:val="36"/>
          <w:szCs w:val="36"/>
        </w:rPr>
        <w:t xml:space="preserve"> </w:t>
      </w:r>
      <w:r w:rsidRPr="00506CDF">
        <w:rPr>
          <w:rFonts w:ascii="Calibri" w:hAnsi="Calibri" w:cs="Calibri"/>
          <w:color w:val="404040" w:themeColor="text1" w:themeTint="BF"/>
          <w:szCs w:val="22"/>
        </w:rPr>
        <w:t>The company's loan approval rules may be too loose overall, not just for one group of borrowers.</w:t>
      </w:r>
    </w:p>
    <w:p w14:paraId="4984908A" w14:textId="77777777" w:rsidR="00CD2526" w:rsidRPr="00795AF7" w:rsidRDefault="00506CDF" w:rsidP="00CD2526">
      <w:pPr>
        <w:rPr>
          <w:rFonts w:ascii="Calibri" w:hAnsi="Calibri" w:cs="Calibri"/>
          <w:color w:val="004E9A"/>
          <w:sz w:val="24"/>
          <w:szCs w:val="22"/>
        </w:rPr>
      </w:pPr>
      <w:r w:rsidRPr="00506CDF">
        <w:rPr>
          <w:rFonts w:ascii="Calibri" w:hAnsi="Calibri" w:cs="Calibri"/>
          <w:color w:val="007BB8"/>
          <w:sz w:val="28"/>
          <w:szCs w:val="28"/>
        </w:rPr>
        <w:t>Insight 5: A small group of loans is causing most of the problems</w:t>
      </w:r>
      <w:r w:rsidRPr="00506CDF">
        <w:rPr>
          <w:rFonts w:ascii="Calibri" w:hAnsi="Calibri" w:cs="Calibri"/>
          <w:color w:val="007BB8"/>
          <w:sz w:val="28"/>
          <w:szCs w:val="28"/>
        </w:rPr>
        <w:br/>
      </w:r>
      <w:r w:rsidR="00CD2526" w:rsidRPr="00795AF7">
        <w:rPr>
          <w:rFonts w:ascii="Calibri" w:hAnsi="Calibri" w:cs="Calibri"/>
          <w:color w:val="404040" w:themeColor="text1" w:themeTint="BF"/>
        </w:rPr>
        <w:t xml:space="preserve">Only 3.9% of loans (1,269 </w:t>
      </w:r>
      <w:r w:rsidR="00CD2526" w:rsidRPr="00C1429A">
        <w:rPr>
          <w:rFonts w:ascii="Calibri" w:hAnsi="Calibri" w:cs="Calibri"/>
          <w:color w:val="004E9A"/>
          <w:sz w:val="24"/>
          <w:szCs w:val="22"/>
        </w:rPr>
        <w:t>out</w:t>
      </w:r>
      <w:r w:rsidR="00CD2526" w:rsidRPr="00795AF7">
        <w:rPr>
          <w:rFonts w:ascii="Calibri" w:hAnsi="Calibri" w:cs="Calibri"/>
          <w:color w:val="404040" w:themeColor="text1" w:themeTint="BF"/>
        </w:rPr>
        <w:t xml:space="preserve"> of 32,574) fall into the "High-Risk" category, made up entirely of Grade E, F, and G loans — and these loans default at 64.42%, 70.54%, and 98.44% respectively</w:t>
      </w:r>
      <w:r w:rsidR="00CD2526" w:rsidRPr="00795AF7">
        <w:rPr>
          <w:rFonts w:ascii="Calibri" w:hAnsi="Calibri" w:cs="Calibri"/>
          <w:color w:val="004E9A"/>
          <w:sz w:val="24"/>
          <w:szCs w:val="22"/>
        </w:rPr>
        <w:t>.</w:t>
      </w:r>
    </w:p>
    <w:p w14:paraId="2065F65F" w14:textId="12C38DBB" w:rsidR="00506CDF" w:rsidRPr="00CD2526" w:rsidRDefault="00CD2526" w:rsidP="00506CDF">
      <w:pPr>
        <w:rPr>
          <w:rFonts w:ascii="Calibri" w:hAnsi="Calibri" w:cs="Calibri"/>
          <w:color w:val="404040" w:themeColor="text1" w:themeTint="BF"/>
        </w:rPr>
      </w:pPr>
      <w:r w:rsidRPr="00795AF7">
        <w:rPr>
          <w:rFonts w:ascii="Calibri" w:hAnsi="Calibri" w:cs="Calibri"/>
          <w:b/>
          <w:bCs/>
          <w:color w:val="404040" w:themeColor="text1" w:themeTint="BF"/>
        </w:rPr>
        <w:t>So what:</w:t>
      </w:r>
      <w:r w:rsidRPr="00795AF7">
        <w:rPr>
          <w:rFonts w:ascii="Calibri" w:hAnsi="Calibri" w:cs="Calibri"/>
          <w:color w:val="004E9A"/>
          <w:sz w:val="24"/>
          <w:szCs w:val="22"/>
        </w:rPr>
        <w:t xml:space="preserve"> </w:t>
      </w:r>
      <w:r w:rsidRPr="00795AF7">
        <w:rPr>
          <w:rFonts w:ascii="Calibri" w:hAnsi="Calibri" w:cs="Calibri"/>
          <w:color w:val="404040" w:themeColor="text1" w:themeTint="BF"/>
        </w:rPr>
        <w:t>If the company reduces or removes these high-risk loans, the overall default rate could drop a lot</w:t>
      </w:r>
    </w:p>
    <w:p w14:paraId="04645FF2" w14:textId="5501658E" w:rsidR="00A75840" w:rsidRPr="008E5490" w:rsidRDefault="00506CDF" w:rsidP="00A75840">
      <w:pPr>
        <w:rPr>
          <w:rFonts w:ascii="Calibri" w:hAnsi="Calibri" w:cs="Calibri"/>
          <w:color w:val="004E9A"/>
          <w:sz w:val="24"/>
          <w:szCs w:val="22"/>
        </w:rPr>
      </w:pPr>
      <w:r w:rsidRPr="00506CDF">
        <w:rPr>
          <w:rFonts w:ascii="Calibri" w:hAnsi="Calibri" w:cs="Calibri"/>
          <w:color w:val="007BB8"/>
          <w:sz w:val="28"/>
          <w:szCs w:val="28"/>
        </w:rPr>
        <w:t xml:space="preserve">Insight 6: </w:t>
      </w:r>
      <w:r w:rsidR="008E5490" w:rsidRPr="008E5490">
        <w:rPr>
          <w:rFonts w:ascii="Calibri" w:hAnsi="Calibri" w:cs="Calibri"/>
          <w:color w:val="007BB8"/>
          <w:sz w:val="28"/>
          <w:szCs w:val="28"/>
        </w:rPr>
        <w:t>Insight 6: Almost one-third of all loans fall in the medium-to-high risk zone</w:t>
      </w:r>
      <w:r w:rsidR="008E5490">
        <w:rPr>
          <w:rFonts w:ascii="Calibri" w:hAnsi="Calibri" w:cs="Calibri"/>
          <w:color w:val="004E9A"/>
          <w:sz w:val="24"/>
          <w:szCs w:val="22"/>
        </w:rPr>
        <w:t>.</w:t>
      </w:r>
      <w:r w:rsidRPr="00506CDF">
        <w:rPr>
          <w:rFonts w:ascii="Calibri" w:hAnsi="Calibri" w:cs="Calibri"/>
          <w:color w:val="007BB8"/>
          <w:sz w:val="28"/>
          <w:szCs w:val="28"/>
        </w:rPr>
        <w:br/>
      </w:r>
      <w:r w:rsidR="00A75840" w:rsidRPr="00C1429A">
        <w:rPr>
          <w:rFonts w:ascii="Calibri" w:hAnsi="Calibri" w:cs="Calibri"/>
          <w:color w:val="404040" w:themeColor="text1" w:themeTint="BF"/>
        </w:rPr>
        <w:t>21,224 loans are low-risk, while 10,081 are medium-risk and 1,269 are high-risk — combined, that's 11,350 loans (about 35% of the total portfolio) carrying elevated risk.</w:t>
      </w:r>
    </w:p>
    <w:p w14:paraId="02A95F60" w14:textId="0E7D5264" w:rsidR="00506CDF" w:rsidRPr="00A75840" w:rsidRDefault="00A75840" w:rsidP="00506CDF">
      <w:pPr>
        <w:rPr>
          <w:rFonts w:ascii="Calibri" w:hAnsi="Calibri" w:cs="Calibri"/>
          <w:color w:val="404040" w:themeColor="text1" w:themeTint="BF"/>
        </w:rPr>
      </w:pPr>
      <w:r w:rsidRPr="00C1429A">
        <w:rPr>
          <w:rFonts w:ascii="Calibri" w:hAnsi="Calibri" w:cs="Calibri"/>
          <w:b/>
          <w:bCs/>
          <w:color w:val="404040" w:themeColor="text1" w:themeTint="BF"/>
        </w:rPr>
        <w:t xml:space="preserve">So what: </w:t>
      </w:r>
      <w:r w:rsidRPr="00C1429A">
        <w:rPr>
          <w:rFonts w:ascii="Calibri" w:hAnsi="Calibri" w:cs="Calibri"/>
          <w:color w:val="404040" w:themeColor="text1" w:themeTint="BF"/>
        </w:rPr>
        <w:t>More than one in three loans needs closer monitoring or stricter terms. The company should spread out its risk or charge different rates based on risk level, instead of concentrating exposure in medium/high-risk segments.</w:t>
      </w:r>
    </w:p>
    <w:p w14:paraId="36BC9694" w14:textId="79279C28" w:rsidR="00506CDF" w:rsidRPr="00B67440" w:rsidRDefault="00506CDF" w:rsidP="00506CDF">
      <w:pPr>
        <w:rPr>
          <w:rFonts w:ascii="Calibri" w:hAnsi="Calibri" w:cs="Calibri"/>
          <w:color w:val="404040" w:themeColor="text1" w:themeTint="BF"/>
          <w:szCs w:val="22"/>
        </w:rPr>
      </w:pPr>
      <w:r w:rsidRPr="00B67440">
        <w:rPr>
          <w:rFonts w:ascii="Calibri" w:hAnsi="Calibri" w:cs="Calibri"/>
          <w:color w:val="007BB8"/>
          <w:sz w:val="28"/>
          <w:szCs w:val="28"/>
        </w:rPr>
        <w:t>Insight 7: Interest rates don't change much even when risk is very different</w:t>
      </w:r>
      <w:r w:rsidRPr="00B67440">
        <w:rPr>
          <w:rFonts w:ascii="Calibri" w:hAnsi="Calibri" w:cs="Calibri"/>
          <w:color w:val="007BB8"/>
          <w:sz w:val="28"/>
          <w:szCs w:val="28"/>
        </w:rPr>
        <w:br/>
      </w:r>
      <w:r w:rsidRPr="00B67440">
        <w:rPr>
          <w:rFonts w:ascii="Calibri" w:hAnsi="Calibri" w:cs="Calibri"/>
          <w:color w:val="404040" w:themeColor="text1" w:themeTint="BF"/>
          <w:szCs w:val="22"/>
        </w:rPr>
        <w:t>Grade A loans (very safe, 9.96% default) and Grade G loans (very risky, 98.44% default) are both charged around the same interest rate, about 11%.</w:t>
      </w:r>
      <w:r w:rsidRPr="00B67440">
        <w:rPr>
          <w:rFonts w:ascii="Calibri" w:hAnsi="Calibri" w:cs="Calibri"/>
          <w:color w:val="404040" w:themeColor="text1" w:themeTint="BF"/>
          <w:szCs w:val="22"/>
        </w:rPr>
        <w:br/>
      </w:r>
      <w:r w:rsidRPr="00B67440">
        <w:rPr>
          <w:rFonts w:ascii="Calibri" w:hAnsi="Calibri" w:cs="Calibri"/>
          <w:b/>
          <w:bCs/>
          <w:color w:val="262626" w:themeColor="text1" w:themeTint="D9"/>
          <w:szCs w:val="22"/>
        </w:rPr>
        <w:t>So what:</w:t>
      </w:r>
      <w:r w:rsidRPr="00506CDF">
        <w:rPr>
          <w:rFonts w:ascii="Calibri" w:hAnsi="Calibri" w:cs="Calibri"/>
          <w:sz w:val="36"/>
          <w:szCs w:val="36"/>
        </w:rPr>
        <w:t xml:space="preserve"> </w:t>
      </w:r>
      <w:r w:rsidRPr="00B67440">
        <w:rPr>
          <w:rFonts w:ascii="Calibri" w:hAnsi="Calibri" w:cs="Calibri"/>
          <w:color w:val="404040" w:themeColor="text1" w:themeTint="BF"/>
          <w:szCs w:val="22"/>
        </w:rPr>
        <w:t>The company should charge higher interest rates for riskier loans. This would help cover the losses from loans that don't get repaid.</w:t>
      </w:r>
    </w:p>
    <w:p w14:paraId="60D356FC" w14:textId="344D0D27" w:rsidR="00C641AC" w:rsidRPr="00C641AC" w:rsidRDefault="00C641AC" w:rsidP="00C641AC">
      <w:pPr>
        <w:rPr>
          <w:rFonts w:ascii="Calibri" w:hAnsi="Calibri" w:cs="Calibri"/>
          <w:sz w:val="36"/>
          <w:szCs w:val="36"/>
        </w:rPr>
      </w:pPr>
    </w:p>
    <w:sectPr w:rsidR="00C641AC" w:rsidRPr="00C641AC" w:rsidSect="00C641AC">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1AC"/>
    <w:rsid w:val="002C2DDE"/>
    <w:rsid w:val="003A3E4A"/>
    <w:rsid w:val="003C673E"/>
    <w:rsid w:val="004C2571"/>
    <w:rsid w:val="00506CDF"/>
    <w:rsid w:val="00570936"/>
    <w:rsid w:val="008E5490"/>
    <w:rsid w:val="00920794"/>
    <w:rsid w:val="00A75840"/>
    <w:rsid w:val="00B67440"/>
    <w:rsid w:val="00C641AC"/>
    <w:rsid w:val="00CD2526"/>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4009E"/>
  <w15:chartTrackingRefBased/>
  <w15:docId w15:val="{69B6871B-DF53-435C-BD79-AD15326DC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C641AC"/>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C641AC"/>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C641AC"/>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C641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1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1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1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1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1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1AC"/>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C641AC"/>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C641AC"/>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C641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1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1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1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1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1AC"/>
    <w:rPr>
      <w:rFonts w:eastAsiaTheme="majorEastAsia" w:cstheme="majorBidi"/>
      <w:color w:val="272727" w:themeColor="text1" w:themeTint="D8"/>
    </w:rPr>
  </w:style>
  <w:style w:type="paragraph" w:styleId="Title">
    <w:name w:val="Title"/>
    <w:basedOn w:val="Normal"/>
    <w:next w:val="Normal"/>
    <w:link w:val="TitleChar"/>
    <w:uiPriority w:val="10"/>
    <w:qFormat/>
    <w:rsid w:val="00C641A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641A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641A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641A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641AC"/>
    <w:pPr>
      <w:spacing w:before="160"/>
      <w:jc w:val="center"/>
    </w:pPr>
    <w:rPr>
      <w:i/>
      <w:iCs/>
      <w:color w:val="404040" w:themeColor="text1" w:themeTint="BF"/>
    </w:rPr>
  </w:style>
  <w:style w:type="character" w:customStyle="1" w:styleId="QuoteChar">
    <w:name w:val="Quote Char"/>
    <w:basedOn w:val="DefaultParagraphFont"/>
    <w:link w:val="Quote"/>
    <w:uiPriority w:val="29"/>
    <w:rsid w:val="00C641AC"/>
    <w:rPr>
      <w:rFonts w:cs="Mangal"/>
      <w:i/>
      <w:iCs/>
      <w:color w:val="404040" w:themeColor="text1" w:themeTint="BF"/>
    </w:rPr>
  </w:style>
  <w:style w:type="paragraph" w:styleId="ListParagraph">
    <w:name w:val="List Paragraph"/>
    <w:basedOn w:val="Normal"/>
    <w:uiPriority w:val="34"/>
    <w:qFormat/>
    <w:rsid w:val="00C641AC"/>
    <w:pPr>
      <w:ind w:left="720"/>
      <w:contextualSpacing/>
    </w:pPr>
  </w:style>
  <w:style w:type="character" w:styleId="IntenseEmphasis">
    <w:name w:val="Intense Emphasis"/>
    <w:basedOn w:val="DefaultParagraphFont"/>
    <w:uiPriority w:val="21"/>
    <w:qFormat/>
    <w:rsid w:val="00C641AC"/>
    <w:rPr>
      <w:i/>
      <w:iCs/>
      <w:color w:val="0F4761" w:themeColor="accent1" w:themeShade="BF"/>
    </w:rPr>
  </w:style>
  <w:style w:type="paragraph" w:styleId="IntenseQuote">
    <w:name w:val="Intense Quote"/>
    <w:basedOn w:val="Normal"/>
    <w:next w:val="Normal"/>
    <w:link w:val="IntenseQuoteChar"/>
    <w:uiPriority w:val="30"/>
    <w:qFormat/>
    <w:rsid w:val="00C641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1AC"/>
    <w:rPr>
      <w:rFonts w:cs="Mangal"/>
      <w:i/>
      <w:iCs/>
      <w:color w:val="0F4761" w:themeColor="accent1" w:themeShade="BF"/>
    </w:rPr>
  </w:style>
  <w:style w:type="character" w:styleId="IntenseReference">
    <w:name w:val="Intense Reference"/>
    <w:basedOn w:val="DefaultParagraphFont"/>
    <w:uiPriority w:val="32"/>
    <w:qFormat/>
    <w:rsid w:val="00C641AC"/>
    <w:rPr>
      <w:b/>
      <w:bCs/>
      <w:smallCaps/>
      <w:color w:val="0F4761" w:themeColor="accent1" w:themeShade="BF"/>
      <w:spacing w:val="5"/>
    </w:rPr>
  </w:style>
  <w:style w:type="paragraph" w:styleId="NormalWeb">
    <w:name w:val="Normal (Web)"/>
    <w:basedOn w:val="Normal"/>
    <w:uiPriority w:val="99"/>
    <w:semiHidden/>
    <w:unhideWhenUsed/>
    <w:rsid w:val="00506CDF"/>
    <w:rPr>
      <w:rFonts w:ascii="Times New Roman" w:hAnsi="Times New Roman"/>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368</Words>
  <Characters>2104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kumar</dc:creator>
  <cp:keywords/>
  <dc:description/>
  <cp:lastModifiedBy>vicky kumar</cp:lastModifiedBy>
  <cp:revision>6</cp:revision>
  <dcterms:created xsi:type="dcterms:W3CDTF">2026-08-29T07:16:00Z</dcterms:created>
  <dcterms:modified xsi:type="dcterms:W3CDTF">2026-09-24T20:20:00Z</dcterms:modified>
</cp:coreProperties>
</file>