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98AB" w14:textId="77777777" w:rsidR="00522877" w:rsidRDefault="00522877" w:rsidP="00522877">
      <w:pPr>
        <w:rPr>
          <w:rFonts w:ascii="Calibri" w:hAnsi="Calibri" w:cs="Calibri"/>
          <w:b/>
          <w:bCs/>
          <w:color w:val="004F88"/>
          <w:sz w:val="40"/>
          <w:szCs w:val="36"/>
        </w:rPr>
      </w:pPr>
      <w:r w:rsidRPr="00522877">
        <w:rPr>
          <w:rFonts w:ascii="Calibri" w:hAnsi="Calibri" w:cs="Calibri"/>
          <w:b/>
          <w:bCs/>
          <w:color w:val="004F88"/>
          <w:sz w:val="40"/>
          <w:szCs w:val="36"/>
        </w:rPr>
        <w:t>Loan Default &amp; Credit Risk Analysis Dashboard</w:t>
      </w:r>
    </w:p>
    <w:p w14:paraId="1A54368A" w14:textId="6DF30F87" w:rsidR="00522877" w:rsidRPr="00522877" w:rsidRDefault="00522877" w:rsidP="00522877">
      <w:pPr>
        <w:rPr>
          <w:rFonts w:ascii="Calibri" w:hAnsi="Calibri" w:cs="Calibri"/>
          <w:b/>
          <w:bCs/>
          <w:color w:val="004F88"/>
          <w:sz w:val="40"/>
          <w:szCs w:val="36"/>
        </w:rPr>
      </w:pPr>
      <w:r w:rsidRPr="00522877">
        <w:rPr>
          <w:rFonts w:ascii="Calibri" w:hAnsi="Calibri" w:cs="Calibri"/>
          <w:color w:val="595959" w:themeColor="text1" w:themeTint="A6"/>
          <w:sz w:val="32"/>
          <w:szCs w:val="28"/>
        </w:rPr>
        <w:t>Business Analysis Report</w:t>
      </w:r>
    </w:p>
    <w:p w14:paraId="2BBD1171" w14:textId="307E4A80" w:rsidR="00522877" w:rsidRPr="00522877" w:rsidRDefault="00522877" w:rsidP="00522877">
      <w:pPr>
        <w:rPr>
          <w:rFonts w:ascii="Calibri" w:hAnsi="Calibri" w:cs="Calibri"/>
          <w:b/>
          <w:bCs/>
          <w:color w:val="747474" w:themeColor="background2" w:themeShade="80"/>
        </w:rPr>
      </w:pPr>
      <w:r w:rsidRPr="00522877">
        <w:rPr>
          <w:rFonts w:ascii="Calibri" w:hAnsi="Calibri" w:cs="Calibri"/>
          <w:b/>
          <w:bCs/>
          <w:color w:val="747474" w:themeColor="background2" w:themeShade="80"/>
        </w:rPr>
        <w:t>Prepared by: Vicky Kumar / Dataset: Credit Risk Dataset — Kaggle (</w:t>
      </w:r>
      <w:proofErr w:type="spellStart"/>
      <w:r w:rsidRPr="00522877">
        <w:rPr>
          <w:rFonts w:ascii="Calibri" w:hAnsi="Calibri" w:cs="Calibri"/>
          <w:b/>
          <w:bCs/>
          <w:color w:val="747474" w:themeColor="background2" w:themeShade="80"/>
        </w:rPr>
        <w:t>l</w:t>
      </w:r>
      <w:r>
        <w:rPr>
          <w:rFonts w:ascii="Calibri" w:hAnsi="Calibri" w:cs="Calibri"/>
          <w:b/>
          <w:bCs/>
          <w:color w:val="747474" w:themeColor="background2" w:themeShade="80"/>
        </w:rPr>
        <w:t>a</w:t>
      </w:r>
      <w:r w:rsidRPr="00522877">
        <w:rPr>
          <w:rFonts w:ascii="Calibri" w:hAnsi="Calibri" w:cs="Calibri"/>
          <w:b/>
          <w:bCs/>
          <w:color w:val="747474" w:themeColor="background2" w:themeShade="80"/>
        </w:rPr>
        <w:t>otse</w:t>
      </w:r>
      <w:proofErr w:type="spellEnd"/>
      <w:r w:rsidRPr="00522877">
        <w:rPr>
          <w:rFonts w:ascii="Calibri" w:hAnsi="Calibri" w:cs="Calibri"/>
          <w:b/>
          <w:bCs/>
          <w:color w:val="747474" w:themeColor="background2" w:themeShade="80"/>
        </w:rPr>
        <w:t>/credit-risk-dataset), 32,574 loan records</w:t>
      </w:r>
    </w:p>
    <w:p w14:paraId="0F52F691" w14:textId="4308F468" w:rsidR="00522877" w:rsidRPr="00522877" w:rsidRDefault="00522877" w:rsidP="00522877">
      <w:pPr>
        <w:pBdr>
          <w:bottom w:val="single" w:sz="4" w:space="1" w:color="auto"/>
        </w:pBdr>
        <w:rPr>
          <w:rFonts w:ascii="Calibri" w:hAnsi="Calibri" w:cs="Calibri"/>
          <w:color w:val="004E9A"/>
          <w:sz w:val="28"/>
          <w:szCs w:val="24"/>
        </w:rPr>
      </w:pPr>
      <w:r w:rsidRPr="00522877">
        <w:rPr>
          <w:rFonts w:ascii="Calibri" w:hAnsi="Calibri" w:cs="Calibri"/>
          <w:b/>
          <w:bCs/>
          <w:color w:val="004E9A"/>
          <w:sz w:val="28"/>
          <w:szCs w:val="24"/>
        </w:rPr>
        <w:t>1</w:t>
      </w:r>
      <w:r>
        <w:rPr>
          <w:rFonts w:ascii="Calibri" w:hAnsi="Calibri" w:cs="Calibri"/>
          <w:b/>
          <w:bCs/>
          <w:color w:val="004E9A"/>
          <w:sz w:val="28"/>
          <w:szCs w:val="24"/>
        </w:rPr>
        <w:t>.</w:t>
      </w:r>
      <w:r w:rsidRPr="00522877">
        <w:rPr>
          <w:rFonts w:ascii="Calibri" w:hAnsi="Calibri" w:cs="Calibri"/>
          <w:b/>
          <w:bCs/>
          <w:color w:val="004E9A"/>
          <w:sz w:val="28"/>
          <w:szCs w:val="24"/>
        </w:rPr>
        <w:t xml:space="preserve"> Objective:</w:t>
      </w:r>
    </w:p>
    <w:p w14:paraId="7CC9DC55" w14:textId="4703383C" w:rsidR="00522877" w:rsidRPr="00522877" w:rsidRDefault="00522877" w:rsidP="00522877">
      <w:pPr>
        <w:rPr>
          <w:rFonts w:ascii="Calibri" w:hAnsi="Calibri" w:cs="Calibri"/>
          <w:color w:val="404040" w:themeColor="text1" w:themeTint="BF"/>
        </w:rPr>
      </w:pPr>
      <w:r w:rsidRPr="00522877">
        <w:rPr>
          <w:rFonts w:ascii="Calibri" w:hAnsi="Calibri" w:cs="Calibri"/>
          <w:color w:val="404040" w:themeColor="text1" w:themeTint="BF"/>
        </w:rPr>
        <w:t>This project analyzes a loan default and credit risk dataset to identify the key drivers of default risk in a lending portfolio, transforming raw loan-level data into an interactive Excel dashboard for credit risk monitoring. The goal was to practice SQL-based data cleaning and transformation, KPI design, pivot table analysis, and dashboard design skills relevant to a data analytics role.</w:t>
      </w:r>
    </w:p>
    <w:p w14:paraId="6716A9E7" w14:textId="78624CEA" w:rsidR="00522877" w:rsidRPr="00522877" w:rsidRDefault="00522877" w:rsidP="00522877">
      <w:pPr>
        <w:pBdr>
          <w:bottom w:val="single" w:sz="4" w:space="1" w:color="auto"/>
        </w:pBdr>
        <w:rPr>
          <w:color w:val="004E9A"/>
          <w:sz w:val="28"/>
          <w:szCs w:val="24"/>
        </w:rPr>
      </w:pPr>
      <w:r w:rsidRPr="00522877">
        <w:rPr>
          <w:rFonts w:ascii="Calibri" w:hAnsi="Calibri" w:cs="Calibri"/>
          <w:b/>
          <w:bCs/>
          <w:color w:val="004E9A"/>
          <w:sz w:val="28"/>
          <w:szCs w:val="24"/>
        </w:rPr>
        <w:t>2</w:t>
      </w:r>
      <w:r>
        <w:rPr>
          <w:rFonts w:ascii="Calibri" w:hAnsi="Calibri" w:cs="Calibri"/>
          <w:b/>
          <w:bCs/>
          <w:color w:val="004E9A"/>
          <w:sz w:val="28"/>
          <w:szCs w:val="24"/>
        </w:rPr>
        <w:t>.</w:t>
      </w:r>
      <w:r w:rsidRPr="00522877">
        <w:rPr>
          <w:rFonts w:ascii="Calibri" w:hAnsi="Calibri" w:cs="Calibri"/>
          <w:b/>
          <w:bCs/>
          <w:color w:val="004E9A"/>
          <w:sz w:val="28"/>
          <w:szCs w:val="24"/>
        </w:rPr>
        <w:t xml:space="preserve"> Data Q</w:t>
      </w:r>
      <w:r w:rsidRPr="00522877">
        <w:rPr>
          <w:b/>
          <w:bCs/>
          <w:color w:val="004E9A"/>
          <w:sz w:val="28"/>
          <w:szCs w:val="24"/>
        </w:rPr>
        <w:t>uality Issues:</w:t>
      </w:r>
    </w:p>
    <w:p w14:paraId="6B80FB07" w14:textId="5D3C882C" w:rsidR="00522877" w:rsidRPr="00522877" w:rsidRDefault="00522877" w:rsidP="00522877">
      <w:pPr>
        <w:numPr>
          <w:ilvl w:val="0"/>
          <w:numId w:val="1"/>
        </w:numPr>
        <w:rPr>
          <w:rFonts w:ascii="Calibri" w:hAnsi="Calibri" w:cs="Calibri"/>
          <w:color w:val="404040" w:themeColor="text1" w:themeTint="BF"/>
        </w:rPr>
      </w:pPr>
      <w:r w:rsidRPr="00522877">
        <w:rPr>
          <w:rFonts w:ascii="Calibri" w:hAnsi="Calibri" w:cs="Calibri"/>
          <w:color w:val="404040" w:themeColor="text1" w:themeTint="BF"/>
        </w:rPr>
        <w:t>The dataset had no unique loan identifier at all — a loan</w:t>
      </w:r>
      <w:r>
        <w:rPr>
          <w:rFonts w:ascii="Calibri" w:hAnsi="Calibri" w:cs="Calibri"/>
          <w:color w:val="404040" w:themeColor="text1" w:themeTint="BF"/>
        </w:rPr>
        <w:t xml:space="preserve"> </w:t>
      </w:r>
      <w:r w:rsidRPr="00522877">
        <w:rPr>
          <w:rFonts w:ascii="Calibri" w:hAnsi="Calibri" w:cs="Calibri"/>
          <w:color w:val="404040" w:themeColor="text1" w:themeTint="BF"/>
        </w:rPr>
        <w:t>id column was added from scratch, since individual records could not be tracked or joined reliably without one.</w:t>
      </w:r>
    </w:p>
    <w:p w14:paraId="4E2B1BE6" w14:textId="3979481D" w:rsidR="00522877" w:rsidRPr="00522877" w:rsidRDefault="00522877" w:rsidP="00522877">
      <w:pPr>
        <w:numPr>
          <w:ilvl w:val="0"/>
          <w:numId w:val="1"/>
        </w:numPr>
        <w:rPr>
          <w:rFonts w:ascii="Calibri" w:hAnsi="Calibri" w:cs="Calibri"/>
          <w:color w:val="404040" w:themeColor="text1" w:themeTint="BF"/>
        </w:rPr>
      </w:pPr>
      <w:r w:rsidRPr="00522877">
        <w:rPr>
          <w:rFonts w:ascii="Calibri" w:hAnsi="Calibri" w:cs="Calibri"/>
          <w:color w:val="404040" w:themeColor="text1" w:themeTint="BF"/>
        </w:rPr>
        <w:t>Employment Length (person</w:t>
      </w:r>
      <w:r>
        <w:rPr>
          <w:rFonts w:ascii="Calibri" w:hAnsi="Calibri" w:cs="Calibri"/>
          <w:color w:val="404040" w:themeColor="text1" w:themeTint="BF"/>
        </w:rPr>
        <w:t xml:space="preserve"> </w:t>
      </w:r>
      <w:r w:rsidRPr="00522877">
        <w:rPr>
          <w:rFonts w:ascii="Calibri" w:hAnsi="Calibri" w:cs="Calibri"/>
          <w:color w:val="404040" w:themeColor="text1" w:themeTint="BF"/>
        </w:rPr>
        <w:t>emp</w:t>
      </w:r>
      <w:r>
        <w:rPr>
          <w:rFonts w:ascii="Calibri" w:hAnsi="Calibri" w:cs="Calibri"/>
          <w:color w:val="404040" w:themeColor="text1" w:themeTint="BF"/>
        </w:rPr>
        <w:t xml:space="preserve"> </w:t>
      </w:r>
      <w:r w:rsidRPr="00522877">
        <w:rPr>
          <w:rFonts w:ascii="Calibri" w:hAnsi="Calibri" w:cs="Calibri"/>
          <w:color w:val="404040" w:themeColor="text1" w:themeTint="BF"/>
        </w:rPr>
        <w:t>length) and Interest Rate (loan</w:t>
      </w:r>
      <w:r>
        <w:rPr>
          <w:rFonts w:ascii="Calibri" w:hAnsi="Calibri" w:cs="Calibri"/>
          <w:color w:val="404040" w:themeColor="text1" w:themeTint="BF"/>
        </w:rPr>
        <w:t xml:space="preserve"> </w:t>
      </w:r>
      <w:r w:rsidRPr="00522877">
        <w:rPr>
          <w:rFonts w:ascii="Calibri" w:hAnsi="Calibri" w:cs="Calibri"/>
          <w:color w:val="404040" w:themeColor="text1" w:themeTint="BF"/>
        </w:rPr>
        <w:t>int</w:t>
      </w:r>
      <w:r>
        <w:rPr>
          <w:rFonts w:ascii="Calibri" w:hAnsi="Calibri" w:cs="Calibri"/>
          <w:color w:val="404040" w:themeColor="text1" w:themeTint="BF"/>
        </w:rPr>
        <w:t xml:space="preserve"> </w:t>
      </w:r>
      <w:r w:rsidRPr="00522877">
        <w:rPr>
          <w:rFonts w:ascii="Calibri" w:hAnsi="Calibri" w:cs="Calibri"/>
          <w:color w:val="404040" w:themeColor="text1" w:themeTint="BF"/>
        </w:rPr>
        <w:t>rate) had missing values scattered across records.</w:t>
      </w:r>
    </w:p>
    <w:p w14:paraId="66DA372B" w14:textId="77777777" w:rsidR="00522877" w:rsidRPr="00522877" w:rsidRDefault="00522877" w:rsidP="00522877">
      <w:pPr>
        <w:numPr>
          <w:ilvl w:val="0"/>
          <w:numId w:val="1"/>
        </w:numPr>
        <w:rPr>
          <w:rFonts w:ascii="Calibri" w:hAnsi="Calibri" w:cs="Calibri"/>
          <w:color w:val="404040" w:themeColor="text1" w:themeTint="BF"/>
        </w:rPr>
      </w:pPr>
      <w:r w:rsidRPr="00522877">
        <w:rPr>
          <w:rFonts w:ascii="Calibri" w:hAnsi="Calibri" w:cs="Calibri"/>
          <w:color w:val="404040" w:themeColor="text1" w:themeTint="BF"/>
        </w:rPr>
        <w:t>Outlier values were present in fields such as Age, Income, and Employment Length (e.g., implausible ages and employment lengths).</w:t>
      </w:r>
    </w:p>
    <w:p w14:paraId="5C836D0C" w14:textId="77777777" w:rsidR="00522877" w:rsidRPr="00522877" w:rsidRDefault="00522877" w:rsidP="00522877">
      <w:pPr>
        <w:numPr>
          <w:ilvl w:val="0"/>
          <w:numId w:val="1"/>
        </w:numPr>
        <w:rPr>
          <w:rFonts w:ascii="Calibri" w:hAnsi="Calibri" w:cs="Calibri"/>
          <w:color w:val="404040" w:themeColor="text1" w:themeTint="BF"/>
        </w:rPr>
      </w:pPr>
      <w:r w:rsidRPr="00522877">
        <w:rPr>
          <w:rFonts w:ascii="Calibri" w:hAnsi="Calibri" w:cs="Calibri"/>
          <w:color w:val="404040" w:themeColor="text1" w:themeTint="BF"/>
        </w:rPr>
        <w:t>No pre-built risk segmentation existed in the raw data — Income Band, Age Band, and High-Risk Grade Flag all had to be derived.</w:t>
      </w:r>
    </w:p>
    <w:p w14:paraId="38FB4BF0" w14:textId="2D656C95" w:rsidR="00522877" w:rsidRPr="00522877" w:rsidRDefault="00522877" w:rsidP="00522877">
      <w:pPr>
        <w:pBdr>
          <w:bottom w:val="single" w:sz="4" w:space="1" w:color="auto"/>
        </w:pBdr>
        <w:rPr>
          <w:rFonts w:ascii="Calibri" w:hAnsi="Calibri" w:cs="Calibri"/>
          <w:b/>
          <w:bCs/>
          <w:color w:val="004E9A"/>
          <w:sz w:val="28"/>
          <w:szCs w:val="24"/>
        </w:rPr>
      </w:pPr>
      <w:r w:rsidRPr="00522877">
        <w:rPr>
          <w:rFonts w:ascii="Calibri" w:hAnsi="Calibri" w:cs="Calibri"/>
          <w:b/>
          <w:bCs/>
          <w:color w:val="004E9A"/>
          <w:sz w:val="28"/>
          <w:szCs w:val="24"/>
        </w:rPr>
        <w:t>3</w:t>
      </w:r>
      <w:r>
        <w:rPr>
          <w:rFonts w:ascii="Calibri" w:hAnsi="Calibri" w:cs="Calibri"/>
          <w:b/>
          <w:bCs/>
          <w:color w:val="004E9A"/>
          <w:sz w:val="28"/>
          <w:szCs w:val="24"/>
        </w:rPr>
        <w:t>.</w:t>
      </w:r>
      <w:r w:rsidRPr="00522877">
        <w:rPr>
          <w:rFonts w:ascii="Calibri" w:hAnsi="Calibri" w:cs="Calibri"/>
          <w:b/>
          <w:bCs/>
          <w:color w:val="004E9A"/>
          <w:sz w:val="28"/>
          <w:szCs w:val="24"/>
        </w:rPr>
        <w:t xml:space="preserve"> Methodology:</w:t>
      </w:r>
    </w:p>
    <w:p w14:paraId="1B9D0337" w14:textId="4EFA6ED7" w:rsidR="00522877" w:rsidRPr="00522877" w:rsidRDefault="00522877" w:rsidP="00522877">
      <w:pPr>
        <w:rPr>
          <w:rFonts w:ascii="Calibri" w:hAnsi="Calibri" w:cs="Calibri"/>
          <w:color w:val="404040" w:themeColor="text1" w:themeTint="BF"/>
        </w:rPr>
      </w:pPr>
      <w:r w:rsidRPr="00522877">
        <w:rPr>
          <w:rFonts w:ascii="Calibri" w:hAnsi="Calibri" w:cs="Calibri"/>
          <w:color w:val="404040" w:themeColor="text1" w:themeTint="BF"/>
        </w:rPr>
        <w:t>Raw data was cleaned and transformed in SQL Server Management Studio (SSMS). Since the raw dataset had no identifier column, a random unique 9-digit loan</w:t>
      </w:r>
      <w:r>
        <w:rPr>
          <w:rFonts w:ascii="Calibri" w:hAnsi="Calibri" w:cs="Calibri"/>
          <w:color w:val="404040" w:themeColor="text1" w:themeTint="BF"/>
        </w:rPr>
        <w:t xml:space="preserve"> </w:t>
      </w:r>
      <w:r w:rsidRPr="00522877">
        <w:rPr>
          <w:rFonts w:ascii="Calibri" w:hAnsi="Calibri" w:cs="Calibri"/>
          <w:color w:val="404040" w:themeColor="text1" w:themeTint="BF"/>
        </w:rPr>
        <w:t>id was generated and added for every record to enable reliable tracking. Outliers were flagged rather than deleted, preserving them transparently in a credit</w:t>
      </w:r>
      <w:r>
        <w:rPr>
          <w:rFonts w:ascii="Calibri" w:hAnsi="Calibri" w:cs="Calibri"/>
          <w:color w:val="404040" w:themeColor="text1" w:themeTint="BF"/>
        </w:rPr>
        <w:t xml:space="preserve"> </w:t>
      </w:r>
      <w:r w:rsidRPr="00522877">
        <w:rPr>
          <w:rFonts w:ascii="Calibri" w:hAnsi="Calibri" w:cs="Calibri"/>
          <w:color w:val="404040" w:themeColor="text1" w:themeTint="BF"/>
        </w:rPr>
        <w:t>risk</w:t>
      </w:r>
      <w:r>
        <w:rPr>
          <w:rFonts w:ascii="Calibri" w:hAnsi="Calibri" w:cs="Calibri"/>
          <w:color w:val="404040" w:themeColor="text1" w:themeTint="BF"/>
        </w:rPr>
        <w:t xml:space="preserve"> </w:t>
      </w:r>
      <w:r w:rsidRPr="00522877">
        <w:rPr>
          <w:rFonts w:ascii="Calibri" w:hAnsi="Calibri" w:cs="Calibri"/>
          <w:color w:val="404040" w:themeColor="text1" w:themeTint="BF"/>
        </w:rPr>
        <w:t>flagged table, and missing Employment Length and Interest Rate values were filled using the grade-wise median. A clean analysis table, credit</w:t>
      </w:r>
      <w:r>
        <w:rPr>
          <w:rFonts w:ascii="Calibri" w:hAnsi="Calibri" w:cs="Calibri"/>
          <w:color w:val="404040" w:themeColor="text1" w:themeTint="BF"/>
        </w:rPr>
        <w:t xml:space="preserve"> </w:t>
      </w:r>
      <w:r w:rsidRPr="00522877">
        <w:rPr>
          <w:rFonts w:ascii="Calibri" w:hAnsi="Calibri" w:cs="Calibri"/>
          <w:color w:val="404040" w:themeColor="text1" w:themeTint="BF"/>
        </w:rPr>
        <w:t>risk</w:t>
      </w:r>
      <w:r>
        <w:rPr>
          <w:rFonts w:ascii="Calibri" w:hAnsi="Calibri" w:cs="Calibri"/>
          <w:color w:val="404040" w:themeColor="text1" w:themeTint="BF"/>
        </w:rPr>
        <w:t xml:space="preserve"> </w:t>
      </w:r>
      <w:r w:rsidRPr="00522877">
        <w:rPr>
          <w:rFonts w:ascii="Calibri" w:hAnsi="Calibri" w:cs="Calibri"/>
          <w:color w:val="404040" w:themeColor="text1" w:themeTint="BF"/>
        </w:rPr>
        <w:t>clean, was then built with derived fields — Income Band, Age Band, and High-Risk Grade Flag — excluding the flagged outlier rows. Ten KPIs were calculated in Excel via pivot tables and assembled into a single interactive dashboard with a left-hand navigation sidebar, KPI cards, charts, and a slicer-based filter panel.</w:t>
      </w:r>
    </w:p>
    <w:p w14:paraId="2856E381" w14:textId="414DEDE7" w:rsidR="00522877" w:rsidRDefault="00522877"/>
    <w:p w14:paraId="06568C38" w14:textId="4CB84EAF" w:rsidR="00920794" w:rsidRDefault="00920794"/>
    <w:p w14:paraId="44C240CF" w14:textId="77777777" w:rsidR="00522877" w:rsidRDefault="00522877"/>
    <w:p w14:paraId="24BC9EB6" w14:textId="77777777" w:rsidR="00522877" w:rsidRDefault="00522877"/>
    <w:p w14:paraId="62A7D887" w14:textId="77777777" w:rsidR="00522877" w:rsidRDefault="00522877"/>
    <w:p w14:paraId="688AFED7" w14:textId="77777777" w:rsidR="00522877" w:rsidRDefault="00522877"/>
    <w:p w14:paraId="6127E04A" w14:textId="77777777" w:rsidR="00522877" w:rsidRDefault="00522877"/>
    <w:p w14:paraId="6FD60072" w14:textId="77777777" w:rsidR="00522877" w:rsidRDefault="00522877"/>
    <w:p w14:paraId="04DAB50E" w14:textId="77777777" w:rsidR="000E0219" w:rsidRPr="000E0219" w:rsidRDefault="000E0219" w:rsidP="000E0219">
      <w:pPr>
        <w:rPr>
          <w:rFonts w:ascii="Calibri" w:hAnsi="Calibri" w:cs="Calibri"/>
          <w:b/>
          <w:bCs/>
          <w:color w:val="004E9A"/>
          <w:sz w:val="28"/>
          <w:szCs w:val="24"/>
        </w:rPr>
      </w:pPr>
      <w:r w:rsidRPr="000E0219">
        <w:rPr>
          <w:rFonts w:ascii="Calibri" w:hAnsi="Calibri" w:cs="Calibri"/>
          <w:b/>
          <w:bCs/>
          <w:color w:val="004E9A"/>
          <w:sz w:val="28"/>
          <w:szCs w:val="24"/>
        </w:rPr>
        <w:lastRenderedPageBreak/>
        <w:t>4. Dashboard Screenshot:</w:t>
      </w:r>
    </w:p>
    <w:p w14:paraId="38F6E2FE" w14:textId="6EC2D76E" w:rsidR="00522877" w:rsidRDefault="000E0219">
      <w:r>
        <w:rPr>
          <w:noProof/>
        </w:rPr>
        <w:drawing>
          <wp:inline distT="0" distB="0" distL="0" distR="0" wp14:anchorId="43CF8F5F" wp14:editId="67501BB8">
            <wp:extent cx="5731510" cy="2770505"/>
            <wp:effectExtent l="0" t="0" r="2540" b="0"/>
            <wp:docPr id="1656685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85368" name="Picture 16566853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6187C80E" w14:textId="77777777" w:rsidR="000E0219" w:rsidRDefault="000E0219" w:rsidP="000E0219"/>
    <w:p w14:paraId="239D923A" w14:textId="22B6FB43" w:rsidR="000E0219" w:rsidRPr="000E0219" w:rsidRDefault="000E0219" w:rsidP="000E0219">
      <w:pPr>
        <w:rPr>
          <w:rFonts w:ascii="Calibri" w:hAnsi="Calibri" w:cs="Calibri"/>
          <w:color w:val="004E9A"/>
          <w:sz w:val="28"/>
          <w:szCs w:val="24"/>
        </w:rPr>
      </w:pPr>
      <w:r w:rsidRPr="000E0219">
        <w:rPr>
          <w:rFonts w:ascii="Calibri" w:hAnsi="Calibri" w:cs="Calibri"/>
          <w:b/>
          <w:bCs/>
          <w:color w:val="004E9A"/>
          <w:sz w:val="28"/>
          <w:szCs w:val="24"/>
        </w:rPr>
        <w:t>5. Key Findings:</w:t>
      </w:r>
    </w:p>
    <w:p w14:paraId="6EFF8F5D" w14:textId="77777777" w:rsidR="000E0219" w:rsidRPr="000E0219" w:rsidRDefault="000E0219" w:rsidP="000E0219">
      <w:pPr>
        <w:rPr>
          <w:rFonts w:ascii="Calibri" w:hAnsi="Calibri" w:cs="Calibri"/>
          <w:color w:val="004E9A"/>
          <w:sz w:val="24"/>
          <w:szCs w:val="22"/>
        </w:rPr>
      </w:pPr>
      <w:r w:rsidRPr="000E0219">
        <w:rPr>
          <w:rFonts w:ascii="Calibri" w:hAnsi="Calibri" w:cs="Calibri"/>
          <w:color w:val="004E9A"/>
          <w:sz w:val="24"/>
          <w:szCs w:val="22"/>
        </w:rPr>
        <w:t>Insight 1: Lower loan grades have much higher default rates</w:t>
      </w:r>
    </w:p>
    <w:p w14:paraId="5D2BC9E3" w14:textId="77777777" w:rsidR="000E0219" w:rsidRPr="000E0219" w:rsidRDefault="000E0219" w:rsidP="000E0219">
      <w:pPr>
        <w:rPr>
          <w:rFonts w:ascii="Calibri" w:hAnsi="Calibri" w:cs="Calibri"/>
          <w:color w:val="404040" w:themeColor="text1" w:themeTint="BF"/>
        </w:rPr>
      </w:pPr>
      <w:r w:rsidRPr="000E0219">
        <w:rPr>
          <w:rFonts w:ascii="Calibri" w:hAnsi="Calibri" w:cs="Calibri"/>
          <w:color w:val="404040" w:themeColor="text1" w:themeTint="BF"/>
        </w:rPr>
        <w:t>Grade A loans default only 9.96% of the time. Grade G loans default 98.44% of the time — almost all of them.</w:t>
      </w:r>
    </w:p>
    <w:p w14:paraId="73ECE0E7" w14:textId="4D2BB28E" w:rsidR="000E0219" w:rsidRPr="000E0219" w:rsidRDefault="000E0219" w:rsidP="000E0219">
      <w:pPr>
        <w:rPr>
          <w:rFonts w:ascii="Calibri" w:hAnsi="Calibri" w:cs="Calibri"/>
        </w:rPr>
      </w:pPr>
      <w:proofErr w:type="gramStart"/>
      <w:r w:rsidRPr="000E0219">
        <w:rPr>
          <w:rFonts w:ascii="Calibri" w:hAnsi="Calibri" w:cs="Calibri"/>
          <w:b/>
          <w:bCs/>
          <w:color w:val="404040" w:themeColor="text1" w:themeTint="BF"/>
        </w:rPr>
        <w:t>So</w:t>
      </w:r>
      <w:proofErr w:type="gramEnd"/>
      <w:r w:rsidRPr="000E0219">
        <w:rPr>
          <w:rFonts w:ascii="Calibri" w:hAnsi="Calibri" w:cs="Calibri"/>
          <w:b/>
          <w:bCs/>
          <w:color w:val="404040" w:themeColor="text1" w:themeTint="BF"/>
        </w:rPr>
        <w:t xml:space="preserve"> what:</w:t>
      </w:r>
      <w:r w:rsidRPr="000E0219">
        <w:rPr>
          <w:b/>
          <w:bCs/>
          <w:color w:val="404040" w:themeColor="text1" w:themeTint="BF"/>
        </w:rPr>
        <w:t xml:space="preserve"> </w:t>
      </w:r>
      <w:r w:rsidRPr="000E0219">
        <w:rPr>
          <w:rFonts w:ascii="Calibri" w:hAnsi="Calibri" w:cs="Calibri"/>
        </w:rPr>
        <w:t>Grade F and G loans are very risky. The company should either stop giving these loans or ask for extra security before approving them.</w:t>
      </w:r>
    </w:p>
    <w:p w14:paraId="617CFD25" w14:textId="77777777" w:rsidR="000E0219" w:rsidRPr="000E0219" w:rsidRDefault="000E0219" w:rsidP="000E0219">
      <w:pPr>
        <w:rPr>
          <w:rFonts w:ascii="Calibri" w:hAnsi="Calibri" w:cs="Calibri"/>
          <w:color w:val="004E9A"/>
          <w:sz w:val="24"/>
          <w:szCs w:val="22"/>
        </w:rPr>
      </w:pPr>
      <w:r w:rsidRPr="000E0219">
        <w:rPr>
          <w:rFonts w:ascii="Calibri" w:hAnsi="Calibri" w:cs="Calibri"/>
          <w:color w:val="004E9A"/>
          <w:sz w:val="24"/>
          <w:szCs w:val="22"/>
        </w:rPr>
        <w:t>Insight 2: People who rent are more likely to default</w:t>
      </w:r>
    </w:p>
    <w:p w14:paraId="13085EC5" w14:textId="77777777" w:rsidR="000E0219" w:rsidRPr="000E0219" w:rsidRDefault="000E0219" w:rsidP="000E0219">
      <w:pPr>
        <w:rPr>
          <w:rFonts w:ascii="Calibri" w:hAnsi="Calibri" w:cs="Calibri"/>
          <w:color w:val="404040" w:themeColor="text1" w:themeTint="BF"/>
        </w:rPr>
      </w:pPr>
      <w:r w:rsidRPr="000E0219">
        <w:rPr>
          <w:rFonts w:ascii="Calibri" w:hAnsi="Calibri" w:cs="Calibri"/>
          <w:color w:val="404040" w:themeColor="text1" w:themeTint="BF"/>
        </w:rPr>
        <w:t>Renter default 38% of the time. People who own their home default only 9% of the time.</w:t>
      </w:r>
    </w:p>
    <w:p w14:paraId="43285560" w14:textId="77777777" w:rsidR="000E0219" w:rsidRPr="000E0219" w:rsidRDefault="000E0219" w:rsidP="000E0219">
      <w:pPr>
        <w:rPr>
          <w:rFonts w:ascii="Calibri" w:hAnsi="Calibri" w:cs="Calibri"/>
          <w:color w:val="404040" w:themeColor="text1" w:themeTint="BF"/>
        </w:rPr>
      </w:pPr>
      <w:proofErr w:type="gramStart"/>
      <w:r w:rsidRPr="000E0219">
        <w:rPr>
          <w:rFonts w:ascii="Calibri" w:hAnsi="Calibri" w:cs="Calibri"/>
          <w:b/>
          <w:bCs/>
          <w:color w:val="404040" w:themeColor="text1" w:themeTint="BF"/>
        </w:rPr>
        <w:t>So</w:t>
      </w:r>
      <w:proofErr w:type="gramEnd"/>
      <w:r w:rsidRPr="000E0219">
        <w:rPr>
          <w:rFonts w:ascii="Calibri" w:hAnsi="Calibri" w:cs="Calibri"/>
          <w:b/>
          <w:bCs/>
          <w:color w:val="404040" w:themeColor="text1" w:themeTint="BF"/>
        </w:rPr>
        <w:t xml:space="preserve"> what:</w:t>
      </w:r>
      <w:r w:rsidRPr="000E0219">
        <w:rPr>
          <w:b/>
          <w:bCs/>
        </w:rPr>
        <w:t xml:space="preserve"> </w:t>
      </w:r>
      <w:r w:rsidRPr="000E0219">
        <w:rPr>
          <w:rFonts w:ascii="Calibri" w:hAnsi="Calibri" w:cs="Calibri"/>
          <w:color w:val="404040" w:themeColor="text1" w:themeTint="BF"/>
        </w:rPr>
        <w:t>When approving a loan, the company should pay more attention to whether the person rents or owns a home.</w:t>
      </w:r>
    </w:p>
    <w:p w14:paraId="7D602B59" w14:textId="77777777" w:rsidR="000E0219" w:rsidRPr="000E0219" w:rsidRDefault="000E0219" w:rsidP="000E0219">
      <w:pPr>
        <w:rPr>
          <w:rFonts w:ascii="Calibri" w:hAnsi="Calibri" w:cs="Calibri"/>
          <w:color w:val="004E9A"/>
          <w:sz w:val="24"/>
          <w:szCs w:val="22"/>
        </w:rPr>
      </w:pPr>
      <w:r w:rsidRPr="000E0219">
        <w:rPr>
          <w:rFonts w:ascii="Calibri" w:hAnsi="Calibri" w:cs="Calibri"/>
          <w:color w:val="004E9A"/>
          <w:sz w:val="24"/>
          <w:szCs w:val="22"/>
        </w:rPr>
        <w:t>Insight 3: The reason for the loan affects the risk too</w:t>
      </w:r>
    </w:p>
    <w:p w14:paraId="6D6BEF9D" w14:textId="77777777" w:rsidR="000E0219" w:rsidRPr="000E0219" w:rsidRDefault="000E0219" w:rsidP="000E0219">
      <w:pPr>
        <w:rPr>
          <w:rFonts w:ascii="Calibri" w:hAnsi="Calibri" w:cs="Calibri"/>
          <w:color w:val="404040" w:themeColor="text1" w:themeTint="BF"/>
        </w:rPr>
      </w:pPr>
      <w:r w:rsidRPr="000E0219">
        <w:rPr>
          <w:rFonts w:ascii="Calibri" w:hAnsi="Calibri" w:cs="Calibri"/>
          <w:color w:val="404040" w:themeColor="text1" w:themeTint="BF"/>
        </w:rPr>
        <w:t>Loans taken to pay off other debts (debt consolidation) default the most, at 28.59%. Loans taken to start a business default the least, at 14.82%.</w:t>
      </w:r>
    </w:p>
    <w:p w14:paraId="60D444A8" w14:textId="77777777" w:rsidR="000E0219" w:rsidRPr="000E0219" w:rsidRDefault="000E0219" w:rsidP="000E0219">
      <w:pPr>
        <w:rPr>
          <w:rFonts w:ascii="Calibri" w:hAnsi="Calibri" w:cs="Calibri"/>
          <w:color w:val="404040" w:themeColor="text1" w:themeTint="BF"/>
        </w:rPr>
      </w:pPr>
      <w:proofErr w:type="gramStart"/>
      <w:r w:rsidRPr="000E0219">
        <w:rPr>
          <w:rFonts w:ascii="Calibri" w:hAnsi="Calibri" w:cs="Calibri"/>
          <w:b/>
          <w:bCs/>
          <w:color w:val="404040" w:themeColor="text1" w:themeTint="BF"/>
        </w:rPr>
        <w:t>So</w:t>
      </w:r>
      <w:proofErr w:type="gramEnd"/>
      <w:r w:rsidRPr="000E0219">
        <w:rPr>
          <w:rFonts w:ascii="Calibri" w:hAnsi="Calibri" w:cs="Calibri"/>
          <w:b/>
          <w:bCs/>
          <w:color w:val="404040" w:themeColor="text1" w:themeTint="BF"/>
        </w:rPr>
        <w:t xml:space="preserve"> what:</w:t>
      </w:r>
      <w:r w:rsidRPr="000E0219">
        <w:rPr>
          <w:b/>
          <w:bCs/>
        </w:rPr>
        <w:t xml:space="preserve"> </w:t>
      </w:r>
      <w:r w:rsidRPr="000E0219">
        <w:rPr>
          <w:rFonts w:ascii="Calibri" w:hAnsi="Calibri" w:cs="Calibri"/>
          <w:color w:val="404040" w:themeColor="text1" w:themeTint="BF"/>
        </w:rPr>
        <w:t>People asking for debt consolidation loans may already be in financial trouble. These applications need extra checking.</w:t>
      </w:r>
    </w:p>
    <w:p w14:paraId="4A5ACD27" w14:textId="77777777" w:rsidR="000E0219" w:rsidRPr="000E0219" w:rsidRDefault="000E0219" w:rsidP="000E0219">
      <w:pPr>
        <w:rPr>
          <w:rFonts w:ascii="Calibri" w:hAnsi="Calibri" w:cs="Calibri"/>
          <w:color w:val="004E9A"/>
          <w:sz w:val="24"/>
          <w:szCs w:val="22"/>
        </w:rPr>
      </w:pPr>
      <w:r w:rsidRPr="000E0219">
        <w:rPr>
          <w:rFonts w:ascii="Calibri" w:hAnsi="Calibri" w:cs="Calibri"/>
          <w:color w:val="004E9A"/>
          <w:sz w:val="24"/>
          <w:szCs w:val="22"/>
        </w:rPr>
        <w:t>Insight 4: About 1 in every 5 loans is defaulting</w:t>
      </w:r>
    </w:p>
    <w:p w14:paraId="187D2F21" w14:textId="77777777" w:rsidR="000E0219" w:rsidRPr="000E0219" w:rsidRDefault="000E0219" w:rsidP="000E0219">
      <w:pPr>
        <w:rPr>
          <w:rFonts w:ascii="Calibri" w:hAnsi="Calibri" w:cs="Calibri"/>
          <w:color w:val="404040" w:themeColor="text1" w:themeTint="BF"/>
        </w:rPr>
      </w:pPr>
      <w:r w:rsidRPr="000E0219">
        <w:rPr>
          <w:rFonts w:ascii="Calibri" w:hAnsi="Calibri" w:cs="Calibri"/>
          <w:color w:val="404040" w:themeColor="text1" w:themeTint="BF"/>
        </w:rPr>
        <w:t>Out of 32,574 loans, 7,107 have defaulted. That's 22%, which is much higher than a normal, healthy rate (3-5%).</w:t>
      </w:r>
    </w:p>
    <w:p w14:paraId="1585D64A" w14:textId="77777777" w:rsidR="000E0219" w:rsidRPr="000E0219" w:rsidRDefault="000E0219" w:rsidP="000E0219">
      <w:pPr>
        <w:rPr>
          <w:rFonts w:ascii="Calibri" w:hAnsi="Calibri" w:cs="Calibri"/>
          <w:color w:val="404040" w:themeColor="text1" w:themeTint="BF"/>
        </w:rPr>
      </w:pPr>
      <w:proofErr w:type="gramStart"/>
      <w:r w:rsidRPr="000E0219">
        <w:rPr>
          <w:rFonts w:ascii="Calibri" w:hAnsi="Calibri" w:cs="Calibri"/>
          <w:b/>
          <w:bCs/>
          <w:color w:val="404040" w:themeColor="text1" w:themeTint="BF"/>
        </w:rPr>
        <w:t>So</w:t>
      </w:r>
      <w:proofErr w:type="gramEnd"/>
      <w:r w:rsidRPr="000E0219">
        <w:rPr>
          <w:rFonts w:ascii="Calibri" w:hAnsi="Calibri" w:cs="Calibri"/>
          <w:b/>
          <w:bCs/>
          <w:color w:val="404040" w:themeColor="text1" w:themeTint="BF"/>
        </w:rPr>
        <w:t xml:space="preserve"> what:</w:t>
      </w:r>
      <w:r w:rsidRPr="000E0219">
        <w:rPr>
          <w:b/>
          <w:bCs/>
        </w:rPr>
        <w:t xml:space="preserve"> </w:t>
      </w:r>
      <w:r w:rsidRPr="000E0219">
        <w:rPr>
          <w:rFonts w:ascii="Calibri" w:hAnsi="Calibri" w:cs="Calibri"/>
          <w:color w:val="404040" w:themeColor="text1" w:themeTint="BF"/>
        </w:rPr>
        <w:t>The company's loan approval rules may be too loose overall, not just for one group of borrowers.</w:t>
      </w:r>
    </w:p>
    <w:p w14:paraId="49CDB350" w14:textId="77777777" w:rsidR="00795AF7" w:rsidRPr="00795AF7" w:rsidRDefault="00795AF7" w:rsidP="00795AF7">
      <w:pPr>
        <w:rPr>
          <w:rFonts w:ascii="Calibri" w:hAnsi="Calibri" w:cs="Calibri"/>
          <w:color w:val="004E9A"/>
          <w:sz w:val="24"/>
          <w:szCs w:val="22"/>
        </w:rPr>
      </w:pPr>
      <w:r w:rsidRPr="00795AF7">
        <w:rPr>
          <w:rFonts w:ascii="Calibri" w:hAnsi="Calibri" w:cs="Calibri"/>
          <w:color w:val="004E9A"/>
          <w:sz w:val="24"/>
          <w:szCs w:val="22"/>
        </w:rPr>
        <w:t>Insight 5: A small group of loans is causing most of the problems</w:t>
      </w:r>
    </w:p>
    <w:p w14:paraId="7364D402" w14:textId="77777777" w:rsidR="00795AF7" w:rsidRPr="00795AF7" w:rsidRDefault="00795AF7" w:rsidP="00795AF7">
      <w:pPr>
        <w:rPr>
          <w:rFonts w:ascii="Calibri" w:hAnsi="Calibri" w:cs="Calibri"/>
          <w:color w:val="004E9A"/>
          <w:sz w:val="24"/>
          <w:szCs w:val="22"/>
        </w:rPr>
      </w:pPr>
      <w:r w:rsidRPr="00795AF7">
        <w:rPr>
          <w:rFonts w:ascii="Calibri" w:hAnsi="Calibri" w:cs="Calibri"/>
          <w:color w:val="404040" w:themeColor="text1" w:themeTint="BF"/>
        </w:rPr>
        <w:lastRenderedPageBreak/>
        <w:t xml:space="preserve">Only 3.9% of loans (1,269 </w:t>
      </w:r>
      <w:r w:rsidRPr="00C1429A">
        <w:rPr>
          <w:rFonts w:ascii="Calibri" w:hAnsi="Calibri" w:cs="Calibri"/>
          <w:color w:val="004E9A"/>
          <w:sz w:val="24"/>
          <w:szCs w:val="22"/>
        </w:rPr>
        <w:t>out</w:t>
      </w:r>
      <w:r w:rsidRPr="00795AF7">
        <w:rPr>
          <w:rFonts w:ascii="Calibri" w:hAnsi="Calibri" w:cs="Calibri"/>
          <w:color w:val="404040" w:themeColor="text1" w:themeTint="BF"/>
        </w:rPr>
        <w:t xml:space="preserve"> of 32,574) fall into the "High-Risk" category, made up entirely of Grade E, F, and G loans — and these loans default at 64.42%, 70.54%, and 98.44% respectively</w:t>
      </w:r>
      <w:r w:rsidRPr="00795AF7">
        <w:rPr>
          <w:rFonts w:ascii="Calibri" w:hAnsi="Calibri" w:cs="Calibri"/>
          <w:color w:val="004E9A"/>
          <w:sz w:val="24"/>
          <w:szCs w:val="22"/>
        </w:rPr>
        <w:t>.</w:t>
      </w:r>
    </w:p>
    <w:p w14:paraId="7E2649A8" w14:textId="77777777" w:rsidR="00795AF7" w:rsidRPr="00795AF7" w:rsidRDefault="00795AF7" w:rsidP="00795AF7">
      <w:pPr>
        <w:rPr>
          <w:rFonts w:ascii="Calibri" w:hAnsi="Calibri" w:cs="Calibri"/>
          <w:color w:val="404040" w:themeColor="text1" w:themeTint="BF"/>
        </w:rPr>
      </w:pPr>
      <w:proofErr w:type="gramStart"/>
      <w:r w:rsidRPr="00795AF7">
        <w:rPr>
          <w:rFonts w:ascii="Calibri" w:hAnsi="Calibri" w:cs="Calibri"/>
          <w:b/>
          <w:bCs/>
          <w:color w:val="404040" w:themeColor="text1" w:themeTint="BF"/>
        </w:rPr>
        <w:t>So</w:t>
      </w:r>
      <w:proofErr w:type="gramEnd"/>
      <w:r w:rsidRPr="00795AF7">
        <w:rPr>
          <w:rFonts w:ascii="Calibri" w:hAnsi="Calibri" w:cs="Calibri"/>
          <w:b/>
          <w:bCs/>
          <w:color w:val="404040" w:themeColor="text1" w:themeTint="BF"/>
        </w:rPr>
        <w:t xml:space="preserve"> what:</w:t>
      </w:r>
      <w:r w:rsidRPr="00795AF7">
        <w:rPr>
          <w:rFonts w:ascii="Calibri" w:hAnsi="Calibri" w:cs="Calibri"/>
          <w:color w:val="004E9A"/>
          <w:sz w:val="24"/>
          <w:szCs w:val="22"/>
        </w:rPr>
        <w:t xml:space="preserve"> </w:t>
      </w:r>
      <w:r w:rsidRPr="00795AF7">
        <w:rPr>
          <w:rFonts w:ascii="Calibri" w:hAnsi="Calibri" w:cs="Calibri"/>
          <w:color w:val="404040" w:themeColor="text1" w:themeTint="BF"/>
        </w:rPr>
        <w:t>If the company reduces or removes these high-risk loans, the overall default rate could drop a lot.</w:t>
      </w:r>
    </w:p>
    <w:p w14:paraId="61AECEC4" w14:textId="77777777" w:rsidR="00C1429A" w:rsidRPr="00C1429A" w:rsidRDefault="00C1429A" w:rsidP="00C1429A">
      <w:pPr>
        <w:rPr>
          <w:rFonts w:ascii="Calibri" w:hAnsi="Calibri" w:cs="Calibri"/>
          <w:color w:val="004E9A"/>
          <w:sz w:val="24"/>
          <w:szCs w:val="22"/>
        </w:rPr>
      </w:pPr>
      <w:r w:rsidRPr="00C1429A">
        <w:rPr>
          <w:rFonts w:ascii="Calibri" w:hAnsi="Calibri" w:cs="Calibri"/>
          <w:color w:val="004E9A"/>
          <w:sz w:val="24"/>
          <w:szCs w:val="22"/>
        </w:rPr>
        <w:t>Insight 6: Almost one-third of all loans fall in the medium-to-high risk zone</w:t>
      </w:r>
    </w:p>
    <w:p w14:paraId="0A3F16C3" w14:textId="77777777" w:rsidR="00C1429A" w:rsidRPr="00C1429A" w:rsidRDefault="00C1429A" w:rsidP="00C1429A">
      <w:pPr>
        <w:rPr>
          <w:rFonts w:ascii="Calibri" w:hAnsi="Calibri" w:cs="Calibri"/>
          <w:color w:val="404040" w:themeColor="text1" w:themeTint="BF"/>
        </w:rPr>
      </w:pPr>
      <w:r w:rsidRPr="00C1429A">
        <w:rPr>
          <w:rFonts w:ascii="Calibri" w:hAnsi="Calibri" w:cs="Calibri"/>
          <w:color w:val="404040" w:themeColor="text1" w:themeTint="BF"/>
        </w:rPr>
        <w:t>21,224 loans are low-risk, while 10,081 are medium-risk and 1,269 are high-risk — combined, that's 11,350 loans (about 35% of the total portfolio) carrying elevated risk.</w:t>
      </w:r>
    </w:p>
    <w:p w14:paraId="3158FD59" w14:textId="77777777" w:rsidR="00C1429A" w:rsidRPr="00C1429A" w:rsidRDefault="00C1429A" w:rsidP="00C1429A">
      <w:pPr>
        <w:rPr>
          <w:rFonts w:ascii="Calibri" w:hAnsi="Calibri" w:cs="Calibri"/>
          <w:color w:val="404040" w:themeColor="text1" w:themeTint="BF"/>
        </w:rPr>
      </w:pPr>
      <w:proofErr w:type="gramStart"/>
      <w:r w:rsidRPr="00C1429A">
        <w:rPr>
          <w:rFonts w:ascii="Calibri" w:hAnsi="Calibri" w:cs="Calibri"/>
          <w:b/>
          <w:bCs/>
          <w:color w:val="404040" w:themeColor="text1" w:themeTint="BF"/>
        </w:rPr>
        <w:t>So</w:t>
      </w:r>
      <w:proofErr w:type="gramEnd"/>
      <w:r w:rsidRPr="00C1429A">
        <w:rPr>
          <w:rFonts w:ascii="Calibri" w:hAnsi="Calibri" w:cs="Calibri"/>
          <w:b/>
          <w:bCs/>
          <w:color w:val="404040" w:themeColor="text1" w:themeTint="BF"/>
        </w:rPr>
        <w:t xml:space="preserve"> what: </w:t>
      </w:r>
      <w:r w:rsidRPr="00C1429A">
        <w:rPr>
          <w:rFonts w:ascii="Calibri" w:hAnsi="Calibri" w:cs="Calibri"/>
          <w:color w:val="404040" w:themeColor="text1" w:themeTint="BF"/>
        </w:rPr>
        <w:t>More than one in three loans needs closer monitoring or stricter terms. The company should spread out its risk or charge different rates based on risk level, instead of concentrating exposure in medium/high-risk segments.</w:t>
      </w:r>
    </w:p>
    <w:p w14:paraId="3B53102C" w14:textId="77777777" w:rsidR="00ED037A" w:rsidRDefault="00ED037A" w:rsidP="000E0219">
      <w:pPr>
        <w:rPr>
          <w:rFonts w:ascii="Calibri" w:hAnsi="Calibri" w:cs="Calibri"/>
          <w:color w:val="004E9A"/>
          <w:sz w:val="24"/>
          <w:szCs w:val="22"/>
        </w:rPr>
      </w:pPr>
    </w:p>
    <w:p w14:paraId="4CFA4974" w14:textId="77777777" w:rsidR="000E0219" w:rsidRPr="000E0219" w:rsidRDefault="000E0219" w:rsidP="000E0219">
      <w:pPr>
        <w:rPr>
          <w:rFonts w:ascii="Calibri" w:hAnsi="Calibri" w:cs="Calibri"/>
          <w:color w:val="004E9A"/>
          <w:sz w:val="24"/>
          <w:szCs w:val="22"/>
        </w:rPr>
      </w:pPr>
      <w:r w:rsidRPr="000E0219">
        <w:rPr>
          <w:rFonts w:ascii="Calibri" w:hAnsi="Calibri" w:cs="Calibri"/>
          <w:color w:val="004E9A"/>
          <w:sz w:val="24"/>
          <w:szCs w:val="22"/>
        </w:rPr>
        <w:t>Insight 7: Interest rates don't change much even when risk is very different</w:t>
      </w:r>
    </w:p>
    <w:p w14:paraId="38E0C314" w14:textId="77777777" w:rsidR="000E0219" w:rsidRPr="000E0219" w:rsidRDefault="000E0219" w:rsidP="000E0219">
      <w:pPr>
        <w:rPr>
          <w:rFonts w:ascii="Calibri" w:hAnsi="Calibri" w:cs="Calibri"/>
          <w:color w:val="404040" w:themeColor="text1" w:themeTint="BF"/>
        </w:rPr>
      </w:pPr>
      <w:r w:rsidRPr="000E0219">
        <w:rPr>
          <w:rFonts w:ascii="Calibri" w:hAnsi="Calibri" w:cs="Calibri"/>
          <w:color w:val="404040" w:themeColor="text1" w:themeTint="BF"/>
        </w:rPr>
        <w:t>Grade A loans (very safe, 9.96% default) and Grade G loans (very risky, 98.44% default) are both charged around the same interest rate, about 11%.</w:t>
      </w:r>
    </w:p>
    <w:p w14:paraId="21A8AB3D" w14:textId="77777777" w:rsidR="000E0219" w:rsidRPr="000E0219" w:rsidRDefault="000E0219" w:rsidP="000E0219">
      <w:pPr>
        <w:rPr>
          <w:rFonts w:ascii="Calibri" w:hAnsi="Calibri" w:cs="Calibri"/>
          <w:color w:val="404040" w:themeColor="text1" w:themeTint="BF"/>
        </w:rPr>
      </w:pPr>
      <w:proofErr w:type="gramStart"/>
      <w:r w:rsidRPr="000E0219">
        <w:rPr>
          <w:rFonts w:ascii="Calibri" w:hAnsi="Calibri" w:cs="Calibri"/>
          <w:b/>
          <w:bCs/>
          <w:color w:val="404040" w:themeColor="text1" w:themeTint="BF"/>
        </w:rPr>
        <w:t>So</w:t>
      </w:r>
      <w:proofErr w:type="gramEnd"/>
      <w:r w:rsidRPr="000E0219">
        <w:rPr>
          <w:rFonts w:ascii="Calibri" w:hAnsi="Calibri" w:cs="Calibri"/>
          <w:b/>
          <w:bCs/>
          <w:color w:val="404040" w:themeColor="text1" w:themeTint="BF"/>
        </w:rPr>
        <w:t xml:space="preserve"> what:</w:t>
      </w:r>
      <w:r w:rsidRPr="000E0219">
        <w:rPr>
          <w:b/>
          <w:bCs/>
        </w:rPr>
        <w:t xml:space="preserve"> </w:t>
      </w:r>
      <w:r w:rsidRPr="000E0219">
        <w:rPr>
          <w:rFonts w:ascii="Calibri" w:hAnsi="Calibri" w:cs="Calibri"/>
          <w:color w:val="404040" w:themeColor="text1" w:themeTint="BF"/>
        </w:rPr>
        <w:t>The company should charge higher interest rates for riskier loans. This would help cover the losses from loans that don't get repaid.</w:t>
      </w:r>
    </w:p>
    <w:p w14:paraId="5EBDF5E3" w14:textId="1CAF9FC3" w:rsidR="000E0219" w:rsidRPr="000E0219" w:rsidRDefault="000E0219" w:rsidP="000E0219">
      <w:pPr>
        <w:rPr>
          <w:rFonts w:ascii="Calibri" w:hAnsi="Calibri" w:cs="Calibri"/>
          <w:b/>
          <w:bCs/>
          <w:color w:val="004E9A"/>
          <w:sz w:val="28"/>
          <w:szCs w:val="24"/>
        </w:rPr>
      </w:pPr>
      <w:r w:rsidRPr="000E0219">
        <w:rPr>
          <w:rFonts w:ascii="Calibri" w:hAnsi="Calibri" w:cs="Calibri"/>
          <w:b/>
          <w:bCs/>
          <w:color w:val="004E9A"/>
          <w:sz w:val="28"/>
          <w:szCs w:val="24"/>
        </w:rPr>
        <w:t>6</w:t>
      </w:r>
      <w:r>
        <w:rPr>
          <w:rFonts w:ascii="Calibri" w:hAnsi="Calibri" w:cs="Calibri"/>
          <w:b/>
          <w:bCs/>
          <w:color w:val="004E9A"/>
          <w:sz w:val="28"/>
          <w:szCs w:val="24"/>
        </w:rPr>
        <w:t>.</w:t>
      </w:r>
      <w:r w:rsidRPr="000E0219">
        <w:rPr>
          <w:rFonts w:ascii="Calibri" w:hAnsi="Calibri" w:cs="Calibri"/>
          <w:b/>
          <w:bCs/>
          <w:color w:val="004E9A"/>
          <w:sz w:val="28"/>
          <w:szCs w:val="24"/>
        </w:rPr>
        <w:t xml:space="preserve"> Recommendations:</w:t>
      </w:r>
    </w:p>
    <w:p w14:paraId="388EDE2E" w14:textId="77777777" w:rsidR="000E0219" w:rsidRPr="000E0219" w:rsidRDefault="000E0219" w:rsidP="000E0219">
      <w:pPr>
        <w:numPr>
          <w:ilvl w:val="0"/>
          <w:numId w:val="1"/>
        </w:numPr>
        <w:rPr>
          <w:rFonts w:ascii="Calibri" w:hAnsi="Calibri" w:cs="Calibri"/>
          <w:color w:val="404040" w:themeColor="text1" w:themeTint="BF"/>
        </w:rPr>
      </w:pPr>
      <w:r w:rsidRPr="000E0219">
        <w:rPr>
          <w:rFonts w:ascii="Calibri" w:hAnsi="Calibri" w:cs="Calibri"/>
          <w:color w:val="404040" w:themeColor="text1" w:themeTint="BF"/>
        </w:rPr>
        <w:t>Tighten or restrict lending to Grade F and G borrowers, or require additional collateral before approval.</w:t>
      </w:r>
    </w:p>
    <w:p w14:paraId="5BEE66F2" w14:textId="77777777" w:rsidR="000E0219" w:rsidRPr="000E0219" w:rsidRDefault="000E0219" w:rsidP="000E0219">
      <w:pPr>
        <w:numPr>
          <w:ilvl w:val="0"/>
          <w:numId w:val="1"/>
        </w:numPr>
        <w:rPr>
          <w:rFonts w:ascii="Calibri" w:hAnsi="Calibri" w:cs="Calibri"/>
          <w:color w:val="404040" w:themeColor="text1" w:themeTint="BF"/>
        </w:rPr>
      </w:pPr>
      <w:r w:rsidRPr="000E0219">
        <w:rPr>
          <w:rFonts w:ascii="Calibri" w:hAnsi="Calibri" w:cs="Calibri"/>
          <w:color w:val="404040" w:themeColor="text1" w:themeTint="BF"/>
        </w:rPr>
        <w:t>Weight home ownership status more heavily in the approval decision, given the gap between renter and owner default rates.</w:t>
      </w:r>
    </w:p>
    <w:p w14:paraId="63F042C1" w14:textId="77777777" w:rsidR="000E0219" w:rsidRPr="000E0219" w:rsidRDefault="000E0219" w:rsidP="000E0219">
      <w:pPr>
        <w:numPr>
          <w:ilvl w:val="0"/>
          <w:numId w:val="1"/>
        </w:numPr>
        <w:rPr>
          <w:rFonts w:ascii="Calibri" w:hAnsi="Calibri" w:cs="Calibri"/>
          <w:color w:val="404040" w:themeColor="text1" w:themeTint="BF"/>
        </w:rPr>
      </w:pPr>
      <w:r w:rsidRPr="000E0219">
        <w:rPr>
          <w:rFonts w:ascii="Calibri" w:hAnsi="Calibri" w:cs="Calibri"/>
          <w:color w:val="404040" w:themeColor="text1" w:themeTint="BF"/>
        </w:rPr>
        <w:t>Apply extra scrutiny to debt-consolidation applications, since they carry the highest default rate by loan purpose.</w:t>
      </w:r>
    </w:p>
    <w:p w14:paraId="133DD516" w14:textId="77777777" w:rsidR="000E0219" w:rsidRPr="000E0219" w:rsidRDefault="000E0219" w:rsidP="000E0219">
      <w:pPr>
        <w:numPr>
          <w:ilvl w:val="0"/>
          <w:numId w:val="1"/>
        </w:numPr>
        <w:rPr>
          <w:rFonts w:ascii="Calibri" w:hAnsi="Calibri" w:cs="Calibri"/>
          <w:color w:val="404040" w:themeColor="text1" w:themeTint="BF"/>
        </w:rPr>
      </w:pPr>
      <w:r w:rsidRPr="000E0219">
        <w:rPr>
          <w:rFonts w:ascii="Calibri" w:hAnsi="Calibri" w:cs="Calibri"/>
          <w:color w:val="404040" w:themeColor="text1" w:themeTint="BF"/>
        </w:rPr>
        <w:t>Review overall approval criteria — a 22% portfolio-wide default rate points to a systemic issue, not an isolated segment.</w:t>
      </w:r>
    </w:p>
    <w:p w14:paraId="462460D8" w14:textId="77777777" w:rsidR="000E0219" w:rsidRPr="000E0219" w:rsidRDefault="000E0219" w:rsidP="000E0219">
      <w:pPr>
        <w:numPr>
          <w:ilvl w:val="0"/>
          <w:numId w:val="1"/>
        </w:numPr>
        <w:rPr>
          <w:rFonts w:ascii="Calibri" w:hAnsi="Calibri" w:cs="Calibri"/>
          <w:color w:val="404040" w:themeColor="text1" w:themeTint="BF"/>
        </w:rPr>
      </w:pPr>
      <w:r w:rsidRPr="000E0219">
        <w:rPr>
          <w:rFonts w:ascii="Calibri" w:hAnsi="Calibri" w:cs="Calibri"/>
          <w:color w:val="404040" w:themeColor="text1" w:themeTint="BF"/>
        </w:rPr>
        <w:t>Introduce risk-based pricing so interest rates rise with grade and risk category, rather than staying flat across the board.</w:t>
      </w:r>
    </w:p>
    <w:p w14:paraId="7CA40C9E" w14:textId="77777777" w:rsidR="000E0219" w:rsidRPr="000E0219" w:rsidRDefault="000E0219" w:rsidP="000E0219">
      <w:pPr>
        <w:rPr>
          <w:rFonts w:ascii="Calibri" w:hAnsi="Calibri" w:cs="Calibri"/>
          <w:b/>
          <w:bCs/>
          <w:color w:val="004E9A"/>
          <w:sz w:val="28"/>
          <w:szCs w:val="24"/>
        </w:rPr>
      </w:pPr>
      <w:r w:rsidRPr="000E0219">
        <w:rPr>
          <w:rFonts w:ascii="Calibri" w:hAnsi="Calibri" w:cs="Calibri"/>
          <w:b/>
          <w:bCs/>
          <w:color w:val="004E9A"/>
          <w:sz w:val="28"/>
          <w:szCs w:val="24"/>
        </w:rPr>
        <w:t>7. Case Study with Stakeholder:</w:t>
      </w:r>
    </w:p>
    <w:p w14:paraId="3C84F48C" w14:textId="77777777" w:rsidR="000E0219" w:rsidRPr="000E0219" w:rsidRDefault="000E0219" w:rsidP="000E0219">
      <w:pPr>
        <w:rPr>
          <w:rFonts w:ascii="Calibri" w:hAnsi="Calibri" w:cs="Calibri"/>
        </w:rPr>
      </w:pPr>
      <w:r w:rsidRPr="000E0219">
        <w:rPr>
          <w:rFonts w:ascii="Calibri" w:hAnsi="Calibri" w:cs="Calibri"/>
          <w:b/>
          <w:bCs/>
          <w:color w:val="747474" w:themeColor="background2" w:themeShade="80"/>
          <w:sz w:val="24"/>
          <w:szCs w:val="22"/>
        </w:rPr>
        <w:t>Stakeholder: Head of Credit Risk</w:t>
      </w:r>
    </w:p>
    <w:p w14:paraId="53A66F1B" w14:textId="77777777" w:rsidR="000E0219" w:rsidRPr="000E0219" w:rsidRDefault="000E0219" w:rsidP="000E0219">
      <w:pPr>
        <w:rPr>
          <w:rFonts w:ascii="Calibri" w:hAnsi="Calibri" w:cs="Calibri"/>
          <w:color w:val="747474" w:themeColor="background2" w:themeShade="80"/>
          <w:sz w:val="24"/>
          <w:szCs w:val="22"/>
        </w:rPr>
      </w:pPr>
      <w:r w:rsidRPr="000E0219">
        <w:rPr>
          <w:rFonts w:ascii="Calibri" w:hAnsi="Calibri" w:cs="Calibri"/>
          <w:i/>
          <w:iCs/>
          <w:color w:val="747474" w:themeColor="background2" w:themeShade="80"/>
          <w:sz w:val="24"/>
          <w:szCs w:val="22"/>
        </w:rPr>
        <w:t>“Our default rate keeps climbing and I don’t have a clear view of which loans are driving it, or whether our pricing actually reflects the risk we’re taking on.”</w:t>
      </w:r>
    </w:p>
    <w:p w14:paraId="33014D41" w14:textId="77777777" w:rsidR="000E0219" w:rsidRPr="00206B32" w:rsidRDefault="000E0219" w:rsidP="000E0219">
      <w:pPr>
        <w:rPr>
          <w:rFonts w:ascii="Calibri" w:hAnsi="Calibri" w:cs="Calibri"/>
          <w:color w:val="004E9A"/>
          <w:sz w:val="24"/>
          <w:szCs w:val="22"/>
        </w:rPr>
      </w:pPr>
      <w:r w:rsidRPr="00206B32">
        <w:rPr>
          <w:rFonts w:ascii="Calibri" w:hAnsi="Calibri" w:cs="Calibri"/>
          <w:color w:val="004E9A"/>
          <w:sz w:val="24"/>
          <w:szCs w:val="22"/>
        </w:rPr>
        <w:t>Approach</w:t>
      </w:r>
    </w:p>
    <w:p w14:paraId="53FD8669" w14:textId="1EC19A6F" w:rsidR="000E0219" w:rsidRPr="00206B32" w:rsidRDefault="000E0219" w:rsidP="000E0219">
      <w:pPr>
        <w:rPr>
          <w:rFonts w:ascii="Calibri" w:hAnsi="Calibri" w:cs="Calibri"/>
          <w:color w:val="404040" w:themeColor="text1" w:themeTint="BF"/>
        </w:rPr>
      </w:pPr>
      <w:r w:rsidRPr="00206B32">
        <w:rPr>
          <w:rFonts w:ascii="Calibri" w:hAnsi="Calibri" w:cs="Calibri"/>
          <w:color w:val="404040" w:themeColor="text1" w:themeTint="BF"/>
        </w:rPr>
        <w:t>Cleaned and standardized a 32,574-record loan dataset in SQL Server, generating a unique loan</w:t>
      </w:r>
      <w:r w:rsidR="00206B32">
        <w:rPr>
          <w:rFonts w:ascii="Calibri" w:hAnsi="Calibri" w:cs="Calibri"/>
          <w:color w:val="404040" w:themeColor="text1" w:themeTint="BF"/>
        </w:rPr>
        <w:t xml:space="preserve"> </w:t>
      </w:r>
      <w:r w:rsidRPr="00206B32">
        <w:rPr>
          <w:rFonts w:ascii="Calibri" w:hAnsi="Calibri" w:cs="Calibri"/>
          <w:color w:val="404040" w:themeColor="text1" w:themeTint="BF"/>
        </w:rPr>
        <w:t xml:space="preserve">id for tracking, flagging outliers transparently instead of removing them, and deriving Income Band, Age Band, and High-Risk Grade Flag fields. Built a single-page Excel dashboard with slicers so the </w:t>
      </w:r>
      <w:r w:rsidRPr="00206B32">
        <w:rPr>
          <w:rFonts w:ascii="Calibri" w:hAnsi="Calibri" w:cs="Calibri"/>
          <w:color w:val="404040" w:themeColor="text1" w:themeTint="BF"/>
        </w:rPr>
        <w:lastRenderedPageBreak/>
        <w:t>stakeholder could filter by loan grade, intent, and home ownership and see live default exposure across the portfolio.</w:t>
      </w:r>
    </w:p>
    <w:p w14:paraId="558E8C16" w14:textId="77777777" w:rsidR="00206B32" w:rsidRDefault="00206B32" w:rsidP="000E0219">
      <w:pPr>
        <w:rPr>
          <w:b/>
          <w:bCs/>
        </w:rPr>
      </w:pPr>
    </w:p>
    <w:p w14:paraId="35206AEC" w14:textId="77777777" w:rsidR="00206B32" w:rsidRDefault="00206B32" w:rsidP="000E0219">
      <w:pPr>
        <w:rPr>
          <w:b/>
          <w:bCs/>
        </w:rPr>
      </w:pPr>
    </w:p>
    <w:p w14:paraId="401A5524" w14:textId="58A10A99" w:rsidR="000E0219" w:rsidRDefault="000E0219" w:rsidP="000E0219">
      <w:pPr>
        <w:rPr>
          <w:rFonts w:ascii="Calibri" w:hAnsi="Calibri" w:cs="Calibri"/>
          <w:color w:val="004E9A"/>
          <w:sz w:val="24"/>
          <w:szCs w:val="22"/>
        </w:rPr>
      </w:pPr>
      <w:r w:rsidRPr="00206B32">
        <w:rPr>
          <w:rFonts w:ascii="Calibri" w:hAnsi="Calibri" w:cs="Calibri"/>
          <w:color w:val="004E9A"/>
          <w:sz w:val="24"/>
          <w:szCs w:val="22"/>
        </w:rPr>
        <w:t>Findings</w:t>
      </w:r>
    </w:p>
    <w:p w14:paraId="604B53C8" w14:textId="77777777" w:rsidR="009A442C" w:rsidRPr="009A442C" w:rsidRDefault="009A442C" w:rsidP="009A442C">
      <w:pPr>
        <w:rPr>
          <w:rFonts w:ascii="Calibri" w:hAnsi="Calibri" w:cs="Calibri"/>
          <w:color w:val="404040" w:themeColor="text1" w:themeTint="BF"/>
        </w:rPr>
      </w:pPr>
      <w:r w:rsidRPr="009A442C">
        <w:rPr>
          <w:rFonts w:ascii="Calibri" w:hAnsi="Calibri" w:cs="Calibri"/>
          <w:color w:val="404040" w:themeColor="text1" w:themeTint="BF"/>
        </w:rPr>
        <w:t>The dashboard showed that default risk is heavily concentrated in Grade F/G loans and renters, that debt-consolidation loans default more than any other loan purpose, and that the portfolio's overall 22% default rate is well above a healthy benchmark — driven largely by the medium-and-high-risk segment (about 35% of the portfolio, made up of Grade E/F/G loans), which defaults at rates between 64% and 98%. Interest rates, however, stay roughly flat across grades, so pricing isn't compensating for this risk.</w:t>
      </w:r>
    </w:p>
    <w:p w14:paraId="58A5B2B2" w14:textId="77777777" w:rsidR="000E0219" w:rsidRDefault="000E0219" w:rsidP="000E0219">
      <w:pPr>
        <w:rPr>
          <w:rFonts w:ascii="Calibri" w:hAnsi="Calibri" w:cs="Calibri"/>
          <w:color w:val="004E9A"/>
          <w:sz w:val="24"/>
          <w:szCs w:val="22"/>
        </w:rPr>
      </w:pPr>
      <w:r w:rsidRPr="00206B32">
        <w:rPr>
          <w:rFonts w:ascii="Calibri" w:hAnsi="Calibri" w:cs="Calibri"/>
          <w:color w:val="004E9A"/>
          <w:sz w:val="24"/>
          <w:szCs w:val="22"/>
        </w:rPr>
        <w:t>Recommendation</w:t>
      </w:r>
    </w:p>
    <w:p w14:paraId="2FC3C5B4" w14:textId="77777777" w:rsidR="007F41AC" w:rsidRPr="007F41AC" w:rsidRDefault="007F41AC" w:rsidP="007F41AC">
      <w:pPr>
        <w:rPr>
          <w:rFonts w:ascii="Calibri" w:hAnsi="Calibri" w:cs="Calibri"/>
          <w:color w:val="404040" w:themeColor="text1" w:themeTint="BF"/>
        </w:rPr>
      </w:pPr>
      <w:r w:rsidRPr="007F41AC">
        <w:rPr>
          <w:rFonts w:ascii="Calibri" w:hAnsi="Calibri" w:cs="Calibri"/>
          <w:color w:val="404040" w:themeColor="text1" w:themeTint="BF"/>
        </w:rPr>
        <w:t>The Head of Credit Risk should tighten approval criteria for Grade F/G and renter segments, require extra documentation for debt-consolidation applications, and move to risk-based pricing so interest rates scale with loan grade — this alone would help interest income properly cover the losses from the riskiest 35% of the book (the medium-and-high-risk segment).</w:t>
      </w:r>
    </w:p>
    <w:p w14:paraId="24F3386F" w14:textId="77777777" w:rsidR="007F41AC" w:rsidRPr="00206B32" w:rsidRDefault="007F41AC" w:rsidP="000E0219">
      <w:pPr>
        <w:rPr>
          <w:rFonts w:ascii="Calibri" w:hAnsi="Calibri" w:cs="Calibri"/>
          <w:color w:val="004E9A"/>
          <w:sz w:val="24"/>
          <w:szCs w:val="22"/>
        </w:rPr>
      </w:pPr>
    </w:p>
    <w:p w14:paraId="31D9C741" w14:textId="77777777" w:rsidR="000E0219" w:rsidRPr="000E0219" w:rsidRDefault="000E0219" w:rsidP="000E0219"/>
    <w:sectPr w:rsidR="000E0219" w:rsidRPr="000E0219" w:rsidSect="0052287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732E3"/>
    <w:multiLevelType w:val="hybridMultilevel"/>
    <w:tmpl w:val="F7287E8E"/>
    <w:lvl w:ilvl="0" w:tplc="939A0416">
      <w:start w:val="1"/>
      <w:numFmt w:val="bullet"/>
      <w:lvlText w:val="•"/>
      <w:lvlJc w:val="left"/>
      <w:pPr>
        <w:ind w:left="720" w:hanging="360"/>
      </w:pPr>
    </w:lvl>
    <w:lvl w:ilvl="1" w:tplc="F91062C0">
      <w:numFmt w:val="decimal"/>
      <w:lvlText w:val=""/>
      <w:lvlJc w:val="left"/>
      <w:pPr>
        <w:ind w:left="0" w:firstLine="0"/>
      </w:pPr>
    </w:lvl>
    <w:lvl w:ilvl="2" w:tplc="ED94073A">
      <w:numFmt w:val="decimal"/>
      <w:lvlText w:val=""/>
      <w:lvlJc w:val="left"/>
      <w:pPr>
        <w:ind w:left="0" w:firstLine="0"/>
      </w:pPr>
    </w:lvl>
    <w:lvl w:ilvl="3" w:tplc="AF76C358">
      <w:numFmt w:val="decimal"/>
      <w:lvlText w:val=""/>
      <w:lvlJc w:val="left"/>
      <w:pPr>
        <w:ind w:left="0" w:firstLine="0"/>
      </w:pPr>
    </w:lvl>
    <w:lvl w:ilvl="4" w:tplc="AEE89222">
      <w:numFmt w:val="decimal"/>
      <w:lvlText w:val=""/>
      <w:lvlJc w:val="left"/>
      <w:pPr>
        <w:ind w:left="0" w:firstLine="0"/>
      </w:pPr>
    </w:lvl>
    <w:lvl w:ilvl="5" w:tplc="8D16135A">
      <w:numFmt w:val="decimal"/>
      <w:lvlText w:val=""/>
      <w:lvlJc w:val="left"/>
      <w:pPr>
        <w:ind w:left="0" w:firstLine="0"/>
      </w:pPr>
    </w:lvl>
    <w:lvl w:ilvl="6" w:tplc="A13CFDB6">
      <w:numFmt w:val="decimal"/>
      <w:lvlText w:val=""/>
      <w:lvlJc w:val="left"/>
      <w:pPr>
        <w:ind w:left="0" w:firstLine="0"/>
      </w:pPr>
    </w:lvl>
    <w:lvl w:ilvl="7" w:tplc="FDAC37DA">
      <w:numFmt w:val="decimal"/>
      <w:lvlText w:val=""/>
      <w:lvlJc w:val="left"/>
      <w:pPr>
        <w:ind w:left="0" w:firstLine="0"/>
      </w:pPr>
    </w:lvl>
    <w:lvl w:ilvl="8" w:tplc="113A22E2">
      <w:numFmt w:val="decimal"/>
      <w:lvlText w:val=""/>
      <w:lvlJc w:val="left"/>
      <w:pPr>
        <w:ind w:left="0" w:firstLine="0"/>
      </w:pPr>
    </w:lvl>
  </w:abstractNum>
  <w:num w:numId="1" w16cid:durableId="82027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77"/>
    <w:rsid w:val="000E0219"/>
    <w:rsid w:val="00206B32"/>
    <w:rsid w:val="00286506"/>
    <w:rsid w:val="003A7BC2"/>
    <w:rsid w:val="00502777"/>
    <w:rsid w:val="00522877"/>
    <w:rsid w:val="0068483E"/>
    <w:rsid w:val="00795AF7"/>
    <w:rsid w:val="007F41AC"/>
    <w:rsid w:val="00920794"/>
    <w:rsid w:val="009A442C"/>
    <w:rsid w:val="00C1429A"/>
    <w:rsid w:val="00E1350D"/>
    <w:rsid w:val="00EC51BA"/>
    <w:rsid w:val="00ED037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B69F"/>
  <w15:chartTrackingRefBased/>
  <w15:docId w15:val="{53FBAAF6-F4E5-4228-8700-1E9E9A11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2287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2287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2287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22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87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2287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2287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22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877"/>
    <w:rPr>
      <w:rFonts w:eastAsiaTheme="majorEastAsia" w:cstheme="majorBidi"/>
      <w:color w:val="272727" w:themeColor="text1" w:themeTint="D8"/>
    </w:rPr>
  </w:style>
  <w:style w:type="paragraph" w:styleId="Title">
    <w:name w:val="Title"/>
    <w:basedOn w:val="Normal"/>
    <w:next w:val="Normal"/>
    <w:link w:val="TitleChar"/>
    <w:uiPriority w:val="10"/>
    <w:qFormat/>
    <w:rsid w:val="005228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28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28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28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2877"/>
    <w:pPr>
      <w:spacing w:before="160"/>
      <w:jc w:val="center"/>
    </w:pPr>
    <w:rPr>
      <w:i/>
      <w:iCs/>
      <w:color w:val="404040" w:themeColor="text1" w:themeTint="BF"/>
    </w:rPr>
  </w:style>
  <w:style w:type="character" w:customStyle="1" w:styleId="QuoteChar">
    <w:name w:val="Quote Char"/>
    <w:basedOn w:val="DefaultParagraphFont"/>
    <w:link w:val="Quote"/>
    <w:uiPriority w:val="29"/>
    <w:rsid w:val="00522877"/>
    <w:rPr>
      <w:rFonts w:cs="Mangal"/>
      <w:i/>
      <w:iCs/>
      <w:color w:val="404040" w:themeColor="text1" w:themeTint="BF"/>
    </w:rPr>
  </w:style>
  <w:style w:type="paragraph" w:styleId="ListParagraph">
    <w:name w:val="List Paragraph"/>
    <w:basedOn w:val="Normal"/>
    <w:uiPriority w:val="34"/>
    <w:qFormat/>
    <w:rsid w:val="00522877"/>
    <w:pPr>
      <w:ind w:left="720"/>
      <w:contextualSpacing/>
    </w:pPr>
  </w:style>
  <w:style w:type="character" w:styleId="IntenseEmphasis">
    <w:name w:val="Intense Emphasis"/>
    <w:basedOn w:val="DefaultParagraphFont"/>
    <w:uiPriority w:val="21"/>
    <w:qFormat/>
    <w:rsid w:val="00522877"/>
    <w:rPr>
      <w:i/>
      <w:iCs/>
      <w:color w:val="0F4761" w:themeColor="accent1" w:themeShade="BF"/>
    </w:rPr>
  </w:style>
  <w:style w:type="paragraph" w:styleId="IntenseQuote">
    <w:name w:val="Intense Quote"/>
    <w:basedOn w:val="Normal"/>
    <w:next w:val="Normal"/>
    <w:link w:val="IntenseQuoteChar"/>
    <w:uiPriority w:val="30"/>
    <w:qFormat/>
    <w:rsid w:val="00522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877"/>
    <w:rPr>
      <w:rFonts w:cs="Mangal"/>
      <w:i/>
      <w:iCs/>
      <w:color w:val="0F4761" w:themeColor="accent1" w:themeShade="BF"/>
    </w:rPr>
  </w:style>
  <w:style w:type="character" w:styleId="IntenseReference">
    <w:name w:val="Intense Reference"/>
    <w:basedOn w:val="DefaultParagraphFont"/>
    <w:uiPriority w:val="32"/>
    <w:qFormat/>
    <w:rsid w:val="00522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kumar</dc:creator>
  <cp:keywords/>
  <dc:description/>
  <cp:lastModifiedBy>vicky kumar</cp:lastModifiedBy>
  <cp:revision>8</cp:revision>
  <dcterms:created xsi:type="dcterms:W3CDTF">2026-08-29T16:54:00Z</dcterms:created>
  <dcterms:modified xsi:type="dcterms:W3CDTF">2026-09-24T20:13:00Z</dcterms:modified>
</cp:coreProperties>
</file>