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D67E">
      <w:pPr>
        <w:rPr>
          <w:rFonts w:ascii="Calibri" w:hAnsi="Calibri" w:cs="Calibri"/>
          <w:b/>
          <w:bCs/>
          <w:color w:val="1F4E78"/>
          <w:sz w:val="56"/>
          <w:szCs w:val="56"/>
        </w:rPr>
      </w:pPr>
    </w:p>
    <w:p w14:paraId="1D173FBF">
      <w:pPr>
        <w:rPr>
          <w:rFonts w:ascii="Calibri" w:hAnsi="Calibri" w:cs="Calibri"/>
          <w:b/>
          <w:bCs/>
          <w:color w:val="1F4E78"/>
          <w:sz w:val="56"/>
          <w:szCs w:val="56"/>
        </w:rPr>
      </w:pPr>
      <w:r>
        <w:rPr>
          <w:rFonts w:ascii="Calibri" w:hAnsi="Calibri" w:cs="Calibri"/>
          <w:b/>
          <w:bCs/>
          <w:color w:val="1F4E78"/>
          <w:sz w:val="56"/>
          <w:szCs w:val="56"/>
        </w:rPr>
        <w:t>Retail Store Sales Dashboard</w:t>
      </w:r>
    </w:p>
    <w:p w14:paraId="746F1623">
      <w:pPr>
        <w:rPr>
          <w:rFonts w:ascii="Calibri" w:hAnsi="Calibri" w:cs="Calibri"/>
          <w:color w:val="747474" w:themeColor="background2" w:themeShade="80"/>
          <w:sz w:val="40"/>
          <w:szCs w:val="40"/>
        </w:rPr>
      </w:pPr>
      <w:r>
        <w:rPr>
          <w:rFonts w:ascii="Calibri" w:hAnsi="Calibri" w:cs="Calibri"/>
          <w:color w:val="747474" w:themeColor="background2" w:themeShade="80"/>
          <w:sz w:val="40"/>
          <w:szCs w:val="40"/>
        </w:rPr>
        <w:t>Business Analysis Report</w:t>
      </w:r>
    </w:p>
    <w:p w14:paraId="635C53FE">
      <w:pPr>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i/>
          <w:iCs/>
          <w:color w:val="404040" w:themeColor="text1" w:themeTint="BF"/>
          <w:sz w:val="24"/>
          <w:szCs w:val="24"/>
          <w14:textFill>
            <w14:solidFill>
              <w14:schemeClr w14:val="tx1">
                <w14:lumMod w14:val="75000"/>
                <w14:lumOff w14:val="25000"/>
              </w14:schemeClr>
            </w14:solidFill>
          </w14:textFill>
        </w:rPr>
        <w:t>Prepared by: Vicky Kumar / Dataset: Retail Store Sales (Kaggle)</w:t>
      </w:r>
    </w:p>
    <w:p w14:paraId="39E501F1">
      <w:pPr>
        <w:rPr>
          <w:rFonts w:ascii="Calibri" w:hAnsi="Calibri" w:cs="Calibri"/>
          <w:b/>
          <w:bCs/>
          <w:color w:val="1F4E78"/>
          <w:sz w:val="28"/>
          <w:szCs w:val="28"/>
        </w:rPr>
      </w:pPr>
      <w:r>
        <w:rPr>
          <w:rFonts w:ascii="Calibri" w:hAnsi="Calibri" w:cs="Calibri"/>
          <w:b/>
          <w:bCs/>
          <w:color w:val="1F4E78"/>
          <w:sz w:val="28"/>
          <w:szCs w:val="28"/>
        </w:rPr>
        <w:t>Executive Summary</w:t>
      </w:r>
    </w:p>
    <w:p w14:paraId="21884C60">
      <w:pPr>
        <w:numPr>
          <w:ilvl w:val="0"/>
          <w:numId w:val="1"/>
        </w:numPr>
        <w:rPr>
          <w:rFonts w:ascii="Calibri" w:hAnsi="Calibri" w:cs="Calibri"/>
          <w:b/>
          <w:bCs/>
          <w:color w:val="404040" w:themeColor="text1" w:themeTint="BF"/>
          <w:szCs w:val="22"/>
          <w14:textFill>
            <w14:solidFill>
              <w14:schemeClr w14:val="tx1">
                <w14:lumMod w14:val="75000"/>
                <w14:lumOff w14:val="25000"/>
              </w14:schemeClr>
            </w14:solidFill>
          </w14:textFill>
        </w:rPr>
      </w:pPr>
      <w:r>
        <w:rPr>
          <w:rFonts w:ascii="Calibri" w:hAnsi="Calibri" w:cs="Calibri"/>
          <w:b/>
          <w:bCs/>
          <w:color w:val="404040" w:themeColor="text1" w:themeTint="BF"/>
          <w:szCs w:val="22"/>
          <w14:textFill>
            <w14:solidFill>
              <w14:schemeClr w14:val="tx1">
                <w14:lumMod w14:val="75000"/>
                <w14:lumOff w14:val="25000"/>
              </w14:schemeClr>
            </w14:solidFill>
          </w14:textFill>
        </w:rPr>
        <w:t>Revenue from discounted transactions (₹512K) is almost identical to non-discounted transactions (₹515K) — the current discount strategy shows no clear evidence of driving incremental sales.</w:t>
      </w:r>
    </w:p>
    <w:p w14:paraId="04E6BFD7">
      <w:pPr>
        <w:numPr>
          <w:ilvl w:val="0"/>
          <w:numId w:val="1"/>
        </w:numPr>
        <w:rPr>
          <w:rFonts w:ascii="Calibri" w:hAnsi="Calibri" w:cs="Calibri"/>
          <w:b/>
          <w:bCs/>
          <w:color w:val="404040" w:themeColor="text1" w:themeTint="BF"/>
          <w:szCs w:val="22"/>
          <w14:textFill>
            <w14:solidFill>
              <w14:schemeClr w14:val="tx1">
                <w14:lumMod w14:val="75000"/>
                <w14:lumOff w14:val="25000"/>
              </w14:schemeClr>
            </w14:solidFill>
          </w14:textFill>
        </w:rPr>
      </w:pPr>
      <w:r>
        <w:rPr>
          <w:rFonts w:ascii="Calibri" w:hAnsi="Calibri" w:cs="Calibri"/>
          <w:b/>
          <w:bCs/>
          <w:color w:val="404040" w:themeColor="text1" w:themeTint="BF"/>
          <w:szCs w:val="22"/>
          <w14:textFill>
            <w14:solidFill>
              <w14:schemeClr w14:val="tx1">
                <w14:lumMod w14:val="75000"/>
                <w14:lumOff w14:val="25000"/>
              </w14:schemeClr>
            </w14:solidFill>
          </w14:textFill>
        </w:rPr>
        <w:t>33% of transactions (₹524K in revenue) have no recorded discount status — this is the single largest revenue slice and points to a checkout/point-of-sale data capture gap, not a real business pattern.</w:t>
      </w:r>
    </w:p>
    <w:p w14:paraId="235A6117">
      <w:pPr>
        <w:numPr>
          <w:ilvl w:val="0"/>
          <w:numId w:val="1"/>
        </w:numPr>
        <w:rPr>
          <w:rFonts w:ascii="Calibri" w:hAnsi="Calibri" w:cs="Calibri"/>
          <w:b/>
          <w:bCs/>
          <w:color w:val="404040" w:themeColor="text1" w:themeTint="BF"/>
          <w:szCs w:val="22"/>
          <w14:textFill>
            <w14:solidFill>
              <w14:schemeClr w14:val="tx1">
                <w14:lumMod w14:val="75000"/>
                <w14:lumOff w14:val="25000"/>
              </w14:schemeClr>
            </w14:solidFill>
          </w14:textFill>
        </w:rPr>
      </w:pPr>
      <w:r>
        <w:rPr>
          <w:rFonts w:ascii="Calibri" w:hAnsi="Calibri" w:cs="Calibri"/>
          <w:b/>
          <w:bCs/>
          <w:color w:val="404040" w:themeColor="text1" w:themeTint="BF"/>
          <w:szCs w:val="22"/>
          <w14:textFill>
            <w14:solidFill>
              <w14:schemeClr w14:val="tx1">
                <w14:lumMod w14:val="75000"/>
                <w14:lumOff w14:val="25000"/>
              </w14:schemeClr>
            </w14:solidFill>
          </w14:textFill>
        </w:rPr>
        <w:t>Butchers and Electric Household Essentials are the top revenue categories; In-store and Online channels are almost evenly split (49% / 51%).</w:t>
      </w:r>
    </w:p>
    <w:p w14:paraId="5D4B7BDB">
      <w:pPr>
        <w:numPr>
          <w:ilvl w:val="0"/>
          <w:numId w:val="1"/>
        </w:numPr>
        <w:rPr>
          <w:rFonts w:ascii="Calibri" w:hAnsi="Calibri" w:cs="Calibri"/>
          <w:b/>
          <w:bCs/>
          <w:color w:val="404040" w:themeColor="text1" w:themeTint="BF"/>
          <w:szCs w:val="22"/>
          <w14:textFill>
            <w14:solidFill>
              <w14:schemeClr w14:val="tx1">
                <w14:lumMod w14:val="75000"/>
                <w14:lumOff w14:val="25000"/>
              </w14:schemeClr>
            </w14:solidFill>
          </w14:textFill>
        </w:rPr>
      </w:pPr>
      <w:r>
        <w:rPr>
          <w:rFonts w:ascii="Calibri" w:hAnsi="Calibri" w:cs="Calibri"/>
          <w:b/>
          <w:bCs/>
          <w:color w:val="404040" w:themeColor="text1" w:themeTint="BF"/>
          <w:szCs w:val="22"/>
          <w14:textFill>
            <w14:solidFill>
              <w14:schemeClr w14:val="tx1">
                <w14:lumMod w14:val="75000"/>
                <w14:lumOff w14:val="25000"/>
              </w14:schemeClr>
            </w14:solidFill>
          </w14:textFill>
        </w:rPr>
        <w:t>Recommended next step: run a controlled A/B discount test and fix discount-status logging at the point of sale before drawing further conclusions.</w:t>
      </w:r>
    </w:p>
    <w:p w14:paraId="02B5C039">
      <w:pPr>
        <w:pBdr>
          <w:bottom w:val="single" w:color="auto" w:sz="4" w:space="1"/>
        </w:pBdr>
        <w:rPr>
          <w:rFonts w:ascii="Calibri" w:hAnsi="Calibri" w:cs="Calibri"/>
          <w:b/>
          <w:bCs/>
          <w:color w:val="4472C4"/>
          <w:sz w:val="28"/>
          <w:szCs w:val="24"/>
        </w:rPr>
      </w:pPr>
      <w:r>
        <w:rPr>
          <w:rFonts w:ascii="Calibri" w:hAnsi="Calibri" w:cs="Calibri"/>
          <w:b/>
          <w:bCs/>
          <w:color w:val="4472C4"/>
          <w:sz w:val="28"/>
          <w:szCs w:val="24"/>
        </w:rPr>
        <w:t xml:space="preserve">1. </w:t>
      </w:r>
      <w:r>
        <w:rPr>
          <w:rFonts w:ascii="Calibri" w:hAnsi="Calibri" w:cs="Calibri"/>
          <w:b/>
          <w:bCs/>
          <w:color w:val="1F4E78"/>
          <w:sz w:val="28"/>
          <w:szCs w:val="28"/>
        </w:rPr>
        <w:t>Business</w:t>
      </w:r>
      <w:r>
        <w:rPr>
          <w:rFonts w:ascii="Calibri" w:hAnsi="Calibri" w:cs="Calibri"/>
          <w:b/>
          <w:bCs/>
          <w:color w:val="4472C4"/>
          <w:sz w:val="28"/>
          <w:szCs w:val="24"/>
        </w:rPr>
        <w:t xml:space="preserve"> </w:t>
      </w:r>
      <w:r>
        <w:rPr>
          <w:rFonts w:ascii="Calibri" w:hAnsi="Calibri" w:cs="Calibri"/>
          <w:b/>
          <w:bCs/>
          <w:color w:val="1F4E78"/>
          <w:sz w:val="28"/>
          <w:szCs w:val="28"/>
        </w:rPr>
        <w:t>Context</w:t>
      </w:r>
    </w:p>
    <w:p w14:paraId="4C73D40B">
      <w:pPr>
        <w:spacing w:after="120"/>
        <w:rPr>
          <w:rFonts w:ascii="Calibri" w:hAnsi="Calibri" w:cs="Calibri"/>
          <w:kern w:val="0"/>
        </w:rPr>
      </w:pPr>
      <w:r>
        <w:rPr>
          <w:rFonts w:ascii="Calibri" w:hAnsi="Calibri" w:cs="Calibri"/>
        </w:rPr>
        <w:t>The Store Operations team raised a question about whether the store's ongoing discount strategy is actually increasing sales or simply reducing margin on purchases that would have happened anyway. This report was built to answer that question using the store's transaction-level sales data, while also surfacing any data quality issues that could affect the reliability of the conclusions.</w:t>
      </w:r>
    </w:p>
    <w:p w14:paraId="56E85588">
      <w:pPr>
        <w:pBdr>
          <w:bottom w:val="single" w:color="auto" w:sz="4" w:space="1"/>
        </w:pBdr>
        <w:rPr>
          <w:rFonts w:ascii="Calibri" w:hAnsi="Calibri" w:cs="Calibri"/>
          <w:color w:val="1F4E78"/>
          <w:sz w:val="28"/>
          <w:szCs w:val="28"/>
        </w:rPr>
      </w:pPr>
      <w:r>
        <w:rPr>
          <w:rFonts w:ascii="Calibri" w:hAnsi="Calibri" w:cs="Calibri"/>
          <w:b/>
          <w:bCs/>
          <w:color w:val="1F4E78"/>
          <w:sz w:val="28"/>
          <w:szCs w:val="28"/>
        </w:rPr>
        <w:t>2. Objective</w:t>
      </w:r>
    </w:p>
    <w:p w14:paraId="2A261893">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This project analyzes retail store transaction data to understand key revenue drivers across product categories, sales channels, and payment methods, while identifying data quality issues that affect the reliability of the analysis. The goal is to translate raw transaction-level data into an interactive dashboard and a set of actionable business findings.</w:t>
      </w:r>
    </w:p>
    <w:p w14:paraId="6658264F">
      <w:pPr>
        <w:pBdr>
          <w:bottom w:val="single" w:color="auto" w:sz="4" w:space="1"/>
        </w:pBdr>
        <w:rPr>
          <w:rFonts w:ascii="Calibri" w:hAnsi="Calibri" w:cs="Calibri"/>
          <w:b/>
          <w:bCs/>
          <w:color w:val="1F4E78"/>
          <w:sz w:val="28"/>
          <w:szCs w:val="28"/>
        </w:rPr>
      </w:pPr>
    </w:p>
    <w:p w14:paraId="79DEDE66">
      <w:pPr>
        <w:pBdr>
          <w:bottom w:val="single" w:color="auto" w:sz="4" w:space="1"/>
        </w:pBdr>
        <w:rPr>
          <w:rFonts w:ascii="Calibri" w:hAnsi="Calibri" w:cs="Calibri"/>
          <w:color w:val="1F4E78"/>
          <w:sz w:val="28"/>
          <w:szCs w:val="28"/>
        </w:rPr>
      </w:pPr>
      <w:r>
        <w:rPr>
          <w:rFonts w:ascii="Calibri" w:hAnsi="Calibri" w:cs="Calibri"/>
          <w:b/>
          <w:bCs/>
          <w:color w:val="1F4E78"/>
          <w:sz w:val="28"/>
          <w:szCs w:val="28"/>
        </w:rPr>
        <w:t>3. Data Quality Issues Found</w:t>
      </w:r>
    </w:p>
    <w:p w14:paraId="7606E9C9">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Before cleaning, the raw dataset (12,575 rows) contained missing values across several columns, summarized below:</w:t>
      </w:r>
    </w:p>
    <w:tbl>
      <w:tblPr>
        <w:tblStyle w:val="14"/>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27"/>
        <w:gridCol w:w="4481"/>
        <w:gridCol w:w="54"/>
      </w:tblGrid>
      <w:tr w14:paraId="67C7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gridSpan w:val="2"/>
            <w:shd w:val="clear" w:color="auto" w:fill="1F4E78"/>
          </w:tcPr>
          <w:p w14:paraId="64BE535A">
            <w:pPr>
              <w:spacing w:after="0" w:line="240" w:lineRule="auto"/>
              <w:rPr>
                <w:rFonts w:ascii="Calibri" w:hAnsi="Calibri" w:cs="Calibri"/>
                <w:color w:val="FFFFFF" w:themeColor="background1"/>
                <w:sz w:val="24"/>
                <w:szCs w:val="24"/>
                <w14:textFill>
                  <w14:solidFill>
                    <w14:schemeClr w14:val="bg1"/>
                  </w14:solidFill>
                </w14:textFill>
              </w:rPr>
            </w:pPr>
            <w:r>
              <w:rPr>
                <w:rFonts w:ascii="Calibri" w:hAnsi="Calibri" w:cs="Calibri"/>
                <w:color w:val="FFFFFF" w:themeColor="background1"/>
                <w:sz w:val="24"/>
                <w:szCs w:val="24"/>
                <w14:textFill>
                  <w14:solidFill>
                    <w14:schemeClr w14:val="bg1"/>
                  </w14:solidFill>
                </w14:textFill>
              </w:rPr>
              <w:t>Column</w:t>
            </w:r>
          </w:p>
        </w:tc>
        <w:tc>
          <w:tcPr>
            <w:tcW w:w="4535" w:type="dxa"/>
            <w:gridSpan w:val="2"/>
            <w:shd w:val="clear" w:color="auto" w:fill="1F4E78"/>
          </w:tcPr>
          <w:p w14:paraId="7490883F">
            <w:pPr>
              <w:spacing w:after="0" w:line="240" w:lineRule="auto"/>
              <w:rPr>
                <w:rFonts w:ascii="Calibri" w:hAnsi="Calibri" w:cs="Calibri"/>
                <w:color w:val="FFFFFF" w:themeColor="background1"/>
                <w:sz w:val="24"/>
                <w:szCs w:val="24"/>
                <w14:textFill>
                  <w14:solidFill>
                    <w14:schemeClr w14:val="bg1"/>
                  </w14:solidFill>
                </w14:textFill>
              </w:rPr>
            </w:pPr>
            <w:r>
              <w:rPr>
                <w:rFonts w:ascii="Calibri" w:hAnsi="Calibri" w:cs="Calibri"/>
                <w:color w:val="FFFFFF" w:themeColor="background1"/>
                <w:sz w:val="24"/>
                <w:szCs w:val="24"/>
                <w14:textFill>
                  <w14:solidFill>
                    <w14:schemeClr w14:val="bg1"/>
                  </w14:solidFill>
                </w14:textFill>
              </w:rPr>
              <w:t>Missing % (Before Cleaning)</w:t>
            </w:r>
          </w:p>
        </w:tc>
      </w:tr>
      <w:tr w14:paraId="16A1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080A8DB1">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Discount Applied</w:t>
            </w:r>
          </w:p>
        </w:tc>
        <w:tc>
          <w:tcPr>
            <w:tcW w:w="4508" w:type="dxa"/>
            <w:gridSpan w:val="2"/>
          </w:tcPr>
          <w:p w14:paraId="17EA67EA">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33.39%</w:t>
            </w:r>
          </w:p>
        </w:tc>
      </w:tr>
      <w:tr w14:paraId="1E30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433C9BF9">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Item</w:t>
            </w:r>
          </w:p>
        </w:tc>
        <w:tc>
          <w:tcPr>
            <w:tcW w:w="4508" w:type="dxa"/>
            <w:gridSpan w:val="2"/>
          </w:tcPr>
          <w:p w14:paraId="07388417">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9.65%</w:t>
            </w:r>
          </w:p>
        </w:tc>
      </w:tr>
      <w:tr w14:paraId="6836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360875CD">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Price Per Unit</w:t>
            </w:r>
          </w:p>
        </w:tc>
        <w:tc>
          <w:tcPr>
            <w:tcW w:w="4508" w:type="dxa"/>
            <w:gridSpan w:val="2"/>
          </w:tcPr>
          <w:p w14:paraId="7D9C1748">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4.84%</w:t>
            </w:r>
          </w:p>
        </w:tc>
      </w:tr>
      <w:tr w14:paraId="5818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7CE5B2F7">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Quantity</w:t>
            </w:r>
          </w:p>
        </w:tc>
        <w:tc>
          <w:tcPr>
            <w:tcW w:w="4508" w:type="dxa"/>
            <w:gridSpan w:val="2"/>
          </w:tcPr>
          <w:p w14:paraId="130F96C8">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4.80%</w:t>
            </w:r>
          </w:p>
        </w:tc>
      </w:tr>
      <w:tr w14:paraId="22F1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35E6800E">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Total Spent</w:t>
            </w:r>
          </w:p>
        </w:tc>
        <w:tc>
          <w:tcPr>
            <w:tcW w:w="4508" w:type="dxa"/>
            <w:gridSpan w:val="2"/>
          </w:tcPr>
          <w:p w14:paraId="66CB5E64">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4.80%</w:t>
            </w:r>
          </w:p>
        </w:tc>
      </w:tr>
      <w:tr w14:paraId="5BA3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17E06BEB">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Payment Method</w:t>
            </w:r>
          </w:p>
        </w:tc>
        <w:tc>
          <w:tcPr>
            <w:tcW w:w="4508" w:type="dxa"/>
            <w:gridSpan w:val="2"/>
          </w:tcPr>
          <w:p w14:paraId="1798CAAD">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0%</w:t>
            </w:r>
          </w:p>
        </w:tc>
      </w:tr>
      <w:tr w14:paraId="25D0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3CBDCA0D">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 xml:space="preserve">Location </w:t>
            </w:r>
          </w:p>
        </w:tc>
        <w:tc>
          <w:tcPr>
            <w:tcW w:w="4508" w:type="dxa"/>
            <w:gridSpan w:val="2"/>
          </w:tcPr>
          <w:p w14:paraId="57FD2711">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0%</w:t>
            </w:r>
          </w:p>
        </w:tc>
      </w:tr>
      <w:tr w14:paraId="56EF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50ED0EDF">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Transaction Date</w:t>
            </w:r>
          </w:p>
        </w:tc>
        <w:tc>
          <w:tcPr>
            <w:tcW w:w="4508" w:type="dxa"/>
            <w:gridSpan w:val="2"/>
          </w:tcPr>
          <w:p w14:paraId="31605023">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0%</w:t>
            </w:r>
          </w:p>
        </w:tc>
      </w:tr>
      <w:tr w14:paraId="38F3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2EDFADAD">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Customer ID</w:t>
            </w:r>
          </w:p>
        </w:tc>
        <w:tc>
          <w:tcPr>
            <w:tcW w:w="4508" w:type="dxa"/>
            <w:gridSpan w:val="2"/>
          </w:tcPr>
          <w:p w14:paraId="561684DD">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0%</w:t>
            </w:r>
          </w:p>
        </w:tc>
      </w:tr>
      <w:tr w14:paraId="0C1F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Pr>
        <w:tc>
          <w:tcPr>
            <w:tcW w:w="4508" w:type="dxa"/>
          </w:tcPr>
          <w:p w14:paraId="7F54C933">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Category</w:t>
            </w:r>
          </w:p>
        </w:tc>
        <w:tc>
          <w:tcPr>
            <w:tcW w:w="4508" w:type="dxa"/>
            <w:gridSpan w:val="2"/>
          </w:tcPr>
          <w:p w14:paraId="72B7B172">
            <w:pPr>
              <w:spacing w:after="0" w:line="240" w:lineRule="auto"/>
              <w:rPr>
                <w:rFonts w:ascii="Calibri" w:hAnsi="Calibri" w:cs="Calibri"/>
                <w:color w:val="404040" w:themeColor="text1" w:themeTint="BF"/>
                <w:sz w:val="24"/>
                <w:szCs w:val="24"/>
                <w14:textFill>
                  <w14:solidFill>
                    <w14:schemeClr w14:val="tx1">
                      <w14:lumMod w14:val="75000"/>
                      <w14:lumOff w14:val="25000"/>
                    </w14:schemeClr>
                  </w14:solidFill>
                </w14:textFill>
              </w:rPr>
            </w:pPr>
            <w:r>
              <w:rPr>
                <w:rFonts w:ascii="Calibri" w:hAnsi="Calibri" w:cs="Calibri"/>
                <w:color w:val="404040" w:themeColor="text1" w:themeTint="BF"/>
                <w:sz w:val="24"/>
                <w:szCs w:val="24"/>
                <w14:textFill>
                  <w14:solidFill>
                    <w14:schemeClr w14:val="tx1">
                      <w14:lumMod w14:val="75000"/>
                      <w14:lumOff w14:val="25000"/>
                    </w14:schemeClr>
                  </w14:solidFill>
                </w14:textFill>
              </w:rPr>
              <w:t>0%</w:t>
            </w:r>
          </w:p>
        </w:tc>
      </w:tr>
    </w:tbl>
    <w:p w14:paraId="65ED11F9">
      <w:pPr>
        <w:rPr>
          <w:rFonts w:ascii="Calibri" w:hAnsi="Calibri" w:cs="Calibri"/>
          <w:color w:val="404040" w:themeColor="text1" w:themeTint="BF"/>
          <w:sz w:val="24"/>
          <w:szCs w:val="24"/>
          <w14:textFill>
            <w14:solidFill>
              <w14:schemeClr w14:val="tx1">
                <w14:lumMod w14:val="75000"/>
                <w14:lumOff w14:val="25000"/>
              </w14:schemeClr>
            </w14:solidFill>
          </w14:textFill>
        </w:rPr>
      </w:pPr>
    </w:p>
    <w:p w14:paraId="5573A9E2">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Discount Applied had the highest missing rate (33.4%), followed by Item (9.6%) and the numeric fields Price Per Unit, Quantity, and Total Spent (4.8% each). Missing values were not deleted, since each row still carried valid transaction data. Instead: categorical gaps (Item, Payment Method, Location, Discount Applied) were labeled 'Unknown' or 'Not Applicable', and numeric gaps were derived where possible using the relationship Total Spent = Quantity × Price Per Unit.</w:t>
      </w:r>
    </w:p>
    <w:p w14:paraId="19C886DD">
      <w:pPr>
        <w:pBdr>
          <w:bottom w:val="single" w:color="auto" w:sz="4" w:space="1"/>
        </w:pBdr>
        <w:rPr>
          <w:rFonts w:ascii="Calibri" w:hAnsi="Calibri" w:cs="Calibri"/>
          <w:color w:val="1F4E78"/>
          <w:sz w:val="28"/>
          <w:szCs w:val="28"/>
        </w:rPr>
      </w:pPr>
      <w:r>
        <w:rPr>
          <w:rFonts w:ascii="Calibri" w:hAnsi="Calibri" w:cs="Calibri"/>
          <w:b/>
          <w:bCs/>
          <w:color w:val="1F4E78"/>
          <w:sz w:val="28"/>
          <w:szCs w:val="28"/>
        </w:rPr>
        <w:t>4. Methodology</w:t>
      </w:r>
    </w:p>
    <w:p w14:paraId="3CEA9989">
      <w:pPr>
        <w:numPr>
          <w:ilvl w:val="0"/>
          <w:numId w:val="2"/>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Data collected from Kaggle (Retail Store Sales — Dirty for Data Cleaning) and imported into Excel via Power Query for a refreshable, live connection.</w:t>
      </w:r>
    </w:p>
    <w:p w14:paraId="0F110107">
      <w:pPr>
        <w:numPr>
          <w:ilvl w:val="0"/>
          <w:numId w:val="2"/>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Profiled using Power Query's Column Quality, Column Distribution, and Column Profile tools to identify nulls, duplicates, and data types across the full dataset.</w:t>
      </w:r>
    </w:p>
    <w:p w14:paraId="4B57EF50">
      <w:pPr>
        <w:pStyle w:val="29"/>
        <w:numPr>
          <w:ilvl w:val="0"/>
          <w:numId w:val="2"/>
        </w:numPr>
        <w:spacing w:after="100" w:line="240" w:lineRule="auto"/>
        <w:contextualSpacing w:val="0"/>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Cleaned by handling missing values, correcting data types, and extracting Year, Quarter, Month Name, Day Name, and Week of Year from Transaction Date.</w:t>
      </w:r>
    </w:p>
    <w:p w14:paraId="07849D9E">
      <w:pPr>
        <w:pStyle w:val="29"/>
        <w:numPr>
          <w:ilvl w:val="0"/>
          <w:numId w:val="3"/>
        </w:numPr>
        <w:spacing w:after="100" w:line="240" w:lineRule="auto"/>
        <w:contextualSpacing w:val="0"/>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Converted to a structured Excel Table for reliable pivot table and chart refresh.</w:t>
      </w:r>
    </w:p>
    <w:p w14:paraId="2B23A19F">
      <w:pPr>
        <w:pStyle w:val="29"/>
        <w:spacing w:after="100" w:line="240" w:lineRule="auto"/>
        <w:ind w:left="786"/>
        <w:contextualSpacing w:val="0"/>
        <w:rPr>
          <w:rFonts w:ascii="Calibri" w:hAnsi="Calibri" w:cs="Calibri"/>
          <w:color w:val="404040" w:themeColor="text1" w:themeTint="BF"/>
          <w:szCs w:val="22"/>
          <w14:textFill>
            <w14:solidFill>
              <w14:schemeClr w14:val="tx1">
                <w14:lumMod w14:val="75000"/>
                <w14:lumOff w14:val="25000"/>
              </w14:schemeClr>
            </w14:solidFill>
          </w14:textFill>
        </w:rPr>
      </w:pPr>
    </w:p>
    <w:p w14:paraId="1C27A538">
      <w:pPr>
        <w:pStyle w:val="29"/>
        <w:numPr>
          <w:ilvl w:val="0"/>
          <w:numId w:val="3"/>
        </w:numPr>
        <w:spacing w:after="0" w:line="240" w:lineRule="auto"/>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pPr>
      <w:r>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t xml:space="preserve"> Built 10 pivot tables — 4 supporting the KPI number cards (Total Revenue, Total Transactions, Average Transaction Value, Total Quantity Sold) and 6 feeding the dashboard charts (Category, Item, Location, Payment Method, Discount status, and Monthly Trend). </w:t>
      </w:r>
    </w:p>
    <w:p w14:paraId="7212F409">
      <w:pPr>
        <w:pStyle w:val="29"/>
        <w:spacing w:after="0" w:line="240" w:lineRule="auto"/>
        <w:ind w:left="786"/>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pPr>
    </w:p>
    <w:p w14:paraId="37FA1782">
      <w:pPr>
        <w:pStyle w:val="29"/>
        <w:numPr>
          <w:ilvl w:val="0"/>
          <w:numId w:val="3"/>
        </w:numPr>
        <w:spacing w:after="0" w:line="240" w:lineRule="auto"/>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pPr>
      <w:r>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t xml:space="preserve"> Added 4 separate Timeline slicers (Year, Quarter, Month, and Day) based on Transaction Date, allowing date filtering at different levels of granularity. </w:t>
      </w:r>
    </w:p>
    <w:p w14:paraId="4579DB52">
      <w:pPr>
        <w:ind w:left="786"/>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pPr>
      <w:r>
        <w:rPr>
          <w:rFonts w:ascii="Calibri" w:hAnsi="Calibri" w:eastAsia="Times New Roman" w:cs="Calibri"/>
          <w:color w:val="404040" w:themeColor="text1" w:themeTint="BF"/>
          <w:kern w:val="0"/>
          <w:szCs w:val="22"/>
          <w14:textFill>
            <w14:solidFill>
              <w14:schemeClr w14:val="tx1">
                <w14:lumMod w14:val="75000"/>
                <w14:lumOff w14:val="25000"/>
              </w14:schemeClr>
            </w14:solidFill>
          </w14:textFill>
          <w14:ligatures w14:val="none"/>
        </w:rPr>
        <w:t>Assembled an interactive dashboard with 4 KPI cards, 6 charts, and category-based slicers (Category, Item, Payment Method, Location, Discount Applied) alongside the 4 date timelines</w:t>
      </w:r>
    </w:p>
    <w:p w14:paraId="6880807A">
      <w:pPr>
        <w:pBdr>
          <w:bottom w:val="single" w:color="auto" w:sz="4" w:space="1"/>
        </w:pBdr>
        <w:rPr>
          <w:rFonts w:ascii="Calibri" w:hAnsi="Calibri" w:cs="Calibri"/>
          <w:b/>
          <w:bCs/>
          <w:color w:val="1F4E78"/>
          <w:sz w:val="28"/>
          <w:szCs w:val="28"/>
        </w:rPr>
      </w:pPr>
      <w:r>
        <w:rPr>
          <w:rFonts w:ascii="Calibri" w:hAnsi="Calibri" w:cs="Calibri"/>
          <w:b/>
          <w:bCs/>
          <w:color w:val="1F4E78"/>
          <w:sz w:val="28"/>
          <w:szCs w:val="28"/>
        </w:rPr>
        <w:t>5.KPI Definitions &amp; Formulas</w:t>
      </w:r>
    </w:p>
    <w:p w14:paraId="3C468EBB">
      <w:pPr>
        <w:rPr>
          <w:rFonts w:ascii="Calibri" w:hAnsi="Calibri" w:cs="Calibri"/>
          <w:b/>
          <w:bCs/>
          <w:color w:val="1F4E78"/>
          <w:sz w:val="28"/>
          <w:szCs w:val="28"/>
        </w:rPr>
      </w:pPr>
    </w:p>
    <w:p w14:paraId="4BA6B1AA">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Each KPI below is defined with its exact calculation so results are reproducible and consistent with how any team member or region would compute the same metric.</w:t>
      </w:r>
    </w:p>
    <w:p w14:paraId="54FAAE15">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Total Revenue</w:t>
      </w:r>
    </w:p>
    <w:p w14:paraId="2FF547FA">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b/>
          <w:bCs/>
          <w:i/>
          <w:iCs/>
          <w:color w:val="1F4E78"/>
          <w:sz w:val="28"/>
          <w:szCs w:val="28"/>
        </w:rPr>
        <w:t xml:space="preserve"> </w:t>
      </w:r>
      <w:r>
        <w:rPr>
          <w:rFonts w:ascii="Calibri" w:hAnsi="Calibri" w:cs="Calibri"/>
          <w:i/>
          <w:iCs/>
          <w:color w:val="747474" w:themeColor="background2" w:themeShade="80"/>
          <w:szCs w:val="22"/>
        </w:rPr>
        <w:t>SUM (Total Spent) across all transactions</w:t>
      </w:r>
    </w:p>
    <w:p w14:paraId="6FD70E52">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Total value of all recorded sales after discount, used as the primary revenue number card.</w:t>
      </w:r>
    </w:p>
    <w:p w14:paraId="284D4B17">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Total Transactions</w:t>
      </w:r>
    </w:p>
    <w:p w14:paraId="38466907">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b/>
          <w:bCs/>
          <w:i/>
          <w:iCs/>
          <w:color w:val="1F4E78"/>
          <w:sz w:val="24"/>
          <w:szCs w:val="24"/>
        </w:rPr>
        <w:t xml:space="preserve"> </w:t>
      </w:r>
      <w:r>
        <w:rPr>
          <w:rFonts w:ascii="Calibri" w:hAnsi="Calibri" w:cs="Calibri"/>
          <w:i/>
          <w:iCs/>
          <w:color w:val="747474" w:themeColor="background2" w:themeShade="80"/>
          <w:szCs w:val="22"/>
        </w:rPr>
        <w:t>COUNT of unique Transaction ID rows</w:t>
      </w:r>
    </w:p>
    <w:p w14:paraId="003809D0">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Total number of completed transactions in the dataset.</w:t>
      </w:r>
    </w:p>
    <w:p w14:paraId="00DD22FE">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Average Transaction Value (ATV)</w:t>
      </w:r>
    </w:p>
    <w:p w14:paraId="3E94271E">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b/>
          <w:bCs/>
          <w:i/>
          <w:iCs/>
          <w:color w:val="1F4E78"/>
          <w:sz w:val="28"/>
          <w:szCs w:val="28"/>
        </w:rPr>
        <w:t xml:space="preserve"> </w:t>
      </w:r>
      <w:r>
        <w:rPr>
          <w:rFonts w:ascii="Calibri" w:hAnsi="Calibri" w:cs="Calibri"/>
          <w:i/>
          <w:iCs/>
          <w:color w:val="747474" w:themeColor="background2" w:themeShade="80"/>
          <w:szCs w:val="22"/>
        </w:rPr>
        <w:t>Total Revenue ÷ Total Transactions</w:t>
      </w:r>
    </w:p>
    <w:p w14:paraId="54AD7EA1">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Average amount spent per transaction; used to compare discounted vs non-discounted baskets.</w:t>
      </w:r>
    </w:p>
    <w:p w14:paraId="1EDFC5A6">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Total Quantity Sold</w:t>
      </w:r>
    </w:p>
    <w:p w14:paraId="09AE3F02">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i/>
          <w:iCs/>
          <w:color w:val="747474" w:themeColor="background2" w:themeShade="80"/>
          <w:szCs w:val="22"/>
        </w:rPr>
        <w:t>: SUM(Quantity) across all transactions</w:t>
      </w:r>
    </w:p>
    <w:p w14:paraId="7CB3F110">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Total units sold, independent of price, used to separate volume trends from revenue trends.</w:t>
      </w:r>
    </w:p>
    <w:p w14:paraId="1E33DBA4">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Revenue by Category / Item</w:t>
      </w:r>
    </w:p>
    <w:p w14:paraId="467DDA8D">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b/>
          <w:bCs/>
          <w:i/>
          <w:iCs/>
          <w:color w:val="1F4E78"/>
          <w:sz w:val="28"/>
          <w:szCs w:val="28"/>
        </w:rPr>
        <w:t xml:space="preserve"> </w:t>
      </w:r>
      <w:r>
        <w:rPr>
          <w:rFonts w:ascii="Calibri" w:hAnsi="Calibri" w:cs="Calibri"/>
          <w:i/>
          <w:iCs/>
          <w:color w:val="747474" w:themeColor="background2" w:themeShade="80"/>
          <w:szCs w:val="22"/>
        </w:rPr>
        <w:t>SUM (Total Spent) grouped by Category or Item</w:t>
      </w:r>
    </w:p>
    <w:p w14:paraId="653620FF">
      <w:pPr>
        <w:pBdr>
          <w:bottom w:val="single" w:color="auto" w:sz="4" w:space="1"/>
        </w:pBdr>
        <w:rPr>
          <w:rFonts w:ascii="Calibri" w:hAnsi="Calibri" w:cs="Calibri"/>
          <w:b/>
          <w:bCs/>
          <w:color w:val="1F4E78"/>
          <w:sz w:val="28"/>
          <w:szCs w:val="28"/>
        </w:rPr>
      </w:pPr>
      <w:r>
        <w:rPr>
          <w:rFonts w:ascii="Calibri" w:hAnsi="Calibri" w:cs="Calibri"/>
          <w:color w:val="404040" w:themeColor="text1" w:themeTint="BF"/>
          <w:szCs w:val="22"/>
          <w14:textFill>
            <w14:solidFill>
              <w14:schemeClr w14:val="tx1">
                <w14:lumMod w14:val="75000"/>
                <w14:lumOff w14:val="25000"/>
              </w14:schemeClr>
            </w14:solidFill>
          </w14:textFill>
        </w:rPr>
        <w:t>Identifies which categories and items are the largest revenue contributors</w:t>
      </w:r>
      <w:r>
        <w:rPr>
          <w:rFonts w:ascii="Calibri" w:hAnsi="Calibri" w:cs="Calibri"/>
          <w:b/>
          <w:bCs/>
          <w:color w:val="1F4E78"/>
          <w:sz w:val="28"/>
          <w:szCs w:val="28"/>
        </w:rPr>
        <w:t>.</w:t>
      </w:r>
    </w:p>
    <w:p w14:paraId="689CC54E">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Revenue: In-store vs Online</w:t>
      </w:r>
    </w:p>
    <w:p w14:paraId="614A260A">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i/>
          <w:iCs/>
          <w:color w:val="747474" w:themeColor="background2" w:themeShade="80"/>
          <w:szCs w:val="22"/>
        </w:rPr>
        <w:t>: SUM (Total Spent) grouped by Sales Channel</w:t>
      </w:r>
    </w:p>
    <w:p w14:paraId="74A22C44">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Splits revenue contribution between the two channels to check for channel imbalance.</w:t>
      </w:r>
    </w:p>
    <w:p w14:paraId="0C89165B">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Revenue by Payment Method</w:t>
      </w:r>
    </w:p>
    <w:p w14:paraId="022B5909">
      <w:pPr>
        <w:pBdr>
          <w:bottom w:val="single" w:color="auto" w:sz="4" w:space="1"/>
        </w:pBdr>
        <w:rPr>
          <w:rFonts w:ascii="Calibri" w:hAnsi="Calibri" w:cs="Calibri"/>
          <w:b/>
          <w:bCs/>
          <w:color w:val="1F4E78"/>
          <w:sz w:val="28"/>
          <w:szCs w:val="28"/>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 xml:space="preserve">Formula: </w:t>
      </w:r>
      <w:r>
        <w:rPr>
          <w:rFonts w:ascii="Calibri" w:hAnsi="Calibri" w:cs="Calibri"/>
          <w:i/>
          <w:iCs/>
          <w:color w:val="747474" w:themeColor="background2" w:themeShade="80"/>
          <w:szCs w:val="22"/>
        </w:rPr>
        <w:t>SUM (Total Spent) grouped by Payment Method</w:t>
      </w:r>
    </w:p>
    <w:p w14:paraId="540355AE">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Shows whether customers favor a particular payment method.</w:t>
      </w:r>
    </w:p>
    <w:p w14:paraId="1EFAE2E2">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ATV: Discounted vs Non-Discounted</w:t>
      </w:r>
    </w:p>
    <w:p w14:paraId="19DECD73">
      <w:pPr>
        <w:pBdr>
          <w:bottom w:val="single" w:color="auto" w:sz="4" w:space="1"/>
        </w:pBdr>
        <w:rPr>
          <w:rFonts w:ascii="Calibri" w:hAnsi="Calibri" w:cs="Calibri"/>
          <w:color w:val="747474" w:themeColor="background2" w:themeShade="80"/>
          <w:szCs w:val="22"/>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 xml:space="preserve">Formula: </w:t>
      </w:r>
      <w:r>
        <w:rPr>
          <w:rFonts w:ascii="Calibri" w:hAnsi="Calibri" w:cs="Calibri"/>
          <w:i/>
          <w:iCs/>
          <w:color w:val="747474" w:themeColor="background2" w:themeShade="80"/>
          <w:szCs w:val="22"/>
        </w:rPr>
        <w:t>SUM (Total Spent) ÷ COUNT(Transactions), grouped by Discount Applied status</w:t>
      </w:r>
    </w:p>
    <w:p w14:paraId="137C63FC">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Core KPI for the discount case study — compares average spend between discounted, non-discounted, and unrecorded transactions.</w:t>
      </w:r>
    </w:p>
    <w:p w14:paraId="26147EA9">
      <w:pPr>
        <w:pBdr>
          <w:bottom w:val="single" w:color="auto" w:sz="4" w:space="1"/>
        </w:pBdr>
        <w:rPr>
          <w:rFonts w:ascii="Calibri" w:hAnsi="Calibri" w:cs="Calibri"/>
          <w:b/>
          <w:bCs/>
          <w:color w:val="0D0D0D" w:themeColor="text1" w:themeTint="F2"/>
          <w:sz w:val="24"/>
          <w:szCs w:val="24"/>
          <w14:textFill>
            <w14:solidFill>
              <w14:schemeClr w14:val="tx1">
                <w14:lumMod w14:val="95000"/>
                <w14:lumOff w14:val="5000"/>
              </w14:schemeClr>
            </w14:solidFill>
          </w14:textFill>
        </w:rPr>
      </w:pPr>
      <w:r>
        <w:rPr>
          <w:rFonts w:ascii="Calibri" w:hAnsi="Calibri" w:cs="Calibri"/>
          <w:b/>
          <w:bCs/>
          <w:color w:val="0D0D0D" w:themeColor="text1" w:themeTint="F2"/>
          <w:sz w:val="24"/>
          <w:szCs w:val="24"/>
          <w14:textFill>
            <w14:solidFill>
              <w14:schemeClr w14:val="tx1">
                <w14:lumMod w14:val="95000"/>
                <w14:lumOff w14:val="5000"/>
              </w14:schemeClr>
            </w14:solidFill>
          </w14:textFill>
        </w:rPr>
        <w:t>Revenue Trend by Month/Year</w:t>
      </w:r>
    </w:p>
    <w:p w14:paraId="7B4BD123">
      <w:pPr>
        <w:pBdr>
          <w:bottom w:val="single" w:color="auto" w:sz="4" w:space="1"/>
        </w:pBdr>
        <w:rPr>
          <w:rFonts w:ascii="Calibri" w:hAnsi="Calibri" w:cs="Calibri"/>
          <w:color w:val="747474" w:themeColor="background2" w:themeShade="80"/>
          <w:szCs w:val="22"/>
        </w:rPr>
      </w:pPr>
      <w:r>
        <w:rPr>
          <w:rFonts w:ascii="Calibri" w:hAnsi="Calibri" w:cs="Calibri"/>
          <w:b/>
          <w:bCs/>
          <w:i/>
          <w:iCs/>
          <w:color w:val="595959" w:themeColor="text1" w:themeTint="A6"/>
          <w:sz w:val="24"/>
          <w:szCs w:val="24"/>
          <w14:textFill>
            <w14:solidFill>
              <w14:schemeClr w14:val="tx1">
                <w14:lumMod w14:val="65000"/>
                <w14:lumOff w14:val="35000"/>
              </w14:schemeClr>
            </w14:solidFill>
          </w14:textFill>
        </w:rPr>
        <w:t>Formula</w:t>
      </w:r>
      <w:r>
        <w:rPr>
          <w:rFonts w:ascii="Calibri" w:hAnsi="Calibri" w:cs="Calibri"/>
          <w:i/>
          <w:iCs/>
          <w:color w:val="747474" w:themeColor="background2" w:themeShade="80"/>
          <w:szCs w:val="22"/>
        </w:rPr>
        <w:t>: SUM (Total Spent) grouped by Month and Year (from Transaction Date)</w:t>
      </w:r>
    </w:p>
    <w:p w14:paraId="26A33150">
      <w:pPr>
        <w:pBdr>
          <w:bottom w:val="single" w:color="auto" w:sz="4" w:space="1"/>
        </w:pBd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Surfaces seasonal patterns, such as the January revenue spike.</w:t>
      </w:r>
    </w:p>
    <w:p w14:paraId="6D600BB6">
      <w:pPr>
        <w:pBdr>
          <w:bottom w:val="single" w:color="auto" w:sz="4" w:space="1"/>
        </w:pBdr>
        <w:rPr>
          <w:rFonts w:ascii="Calibri" w:hAnsi="Calibri" w:cs="Calibri"/>
          <w:b/>
          <w:bCs/>
          <w:color w:val="1F4E78"/>
          <w:sz w:val="28"/>
          <w:szCs w:val="28"/>
        </w:rPr>
      </w:pPr>
    </w:p>
    <w:p w14:paraId="3642EF76">
      <w:pPr>
        <w:pBdr>
          <w:bottom w:val="single" w:color="auto" w:sz="4" w:space="1"/>
        </w:pBdr>
        <w:rPr>
          <w:rFonts w:ascii="Calibri" w:hAnsi="Calibri" w:cs="Calibri"/>
          <w:b/>
          <w:bCs/>
          <w:color w:val="1F4E78"/>
          <w:sz w:val="28"/>
          <w:szCs w:val="28"/>
        </w:rPr>
      </w:pPr>
    </w:p>
    <w:p w14:paraId="033DA425">
      <w:pPr>
        <w:pBdr>
          <w:bottom w:val="single" w:color="auto" w:sz="4" w:space="1"/>
        </w:pBdr>
        <w:rPr>
          <w:rFonts w:ascii="Calibri" w:hAnsi="Calibri" w:cs="Calibri"/>
          <w:color w:val="1F4E78"/>
          <w:sz w:val="28"/>
          <w:szCs w:val="28"/>
        </w:rPr>
      </w:pPr>
      <w:r>
        <w:rPr>
          <w:rFonts w:ascii="Calibri" w:hAnsi="Calibri" w:cs="Calibri"/>
          <w:b/>
          <w:bCs/>
          <w:color w:val="1F4E78"/>
          <w:sz w:val="28"/>
          <w:szCs w:val="28"/>
        </w:rPr>
        <w:t>6. Key Findings</w:t>
      </w:r>
    </w:p>
    <w:p w14:paraId="7C854018">
      <w:pPr>
        <w:rPr>
          <w:rFonts w:ascii="Calibri" w:hAnsi="Calibri" w:cs="Calibri"/>
          <w:color w:val="404040" w:themeColor="text1" w:themeTint="BF"/>
          <w:sz w:val="40"/>
          <w:szCs w:val="40"/>
          <w14:textFill>
            <w14:solidFill>
              <w14:schemeClr w14:val="tx1">
                <w14:lumMod w14:val="75000"/>
                <w14:lumOff w14:val="25000"/>
              </w14:schemeClr>
            </w14:solidFill>
          </w14:textFill>
        </w:rPr>
      </w:pPr>
      <w:r>
        <w:rPr>
          <w:rFonts w:ascii="Calibri" w:hAnsi="Calibri" w:cs="Calibri"/>
          <w:b/>
          <w:bCs/>
          <w:color w:val="1F4E78"/>
          <w:sz w:val="24"/>
          <w:szCs w:val="24"/>
        </w:rPr>
        <w:t>Insight 1: Daily-use categories drive the most revenue</w:t>
      </w:r>
      <w:r>
        <w:rPr>
          <w:rFonts w:ascii="Calibri" w:hAnsi="Calibri" w:cs="Calibri"/>
          <w:color w:val="404040" w:themeColor="text1" w:themeTint="BF"/>
          <w:sz w:val="40"/>
          <w:szCs w:val="40"/>
          <w14:textFill>
            <w14:solidFill>
              <w14:schemeClr w14:val="tx1">
                <w14:lumMod w14:val="75000"/>
                <w14:lumOff w14:val="25000"/>
              </w14:schemeClr>
            </w14:solidFill>
          </w14:textFill>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Butchers (₹208K) and Electric Household Essentials (₹204K) bring in the most revenue. Interestingly, Milk Products (₹180K) — something people buy often — actually brings in the least. This suggests customers spend more per visit on Butchers and Electronics, even if they buy Milk more frequently. Bundling small daily items with higher-value products could help increase the average order size.</w:t>
      </w:r>
    </w:p>
    <w:p w14:paraId="1EF8DD62">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2: In-store and online sales are almost equal</w:t>
      </w:r>
      <w:r>
        <w:rPr>
          <w:rFonts w:ascii="Calibri" w:hAnsi="Calibri" w:cs="Calibri"/>
          <w:b/>
          <w:bCs/>
          <w:color w:val="404040" w:themeColor="text1" w:themeTint="BF"/>
          <w:sz w:val="40"/>
          <w:szCs w:val="40"/>
          <w14:textFill>
            <w14:solidFill>
              <w14:schemeClr w14:val="tx1">
                <w14:lumMod w14:val="75000"/>
                <w14:lumOff w14:val="25000"/>
              </w14:schemeClr>
            </w14:solidFill>
          </w14:textFill>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In-store (49%) and Online (51%) are nearly split down the middle. Neither channel is being ignored, which is a good sign for the business. Since both are performing similarly, the store could test different promotions on each channel separately without worrying about hurting the other.</w:t>
      </w:r>
    </w:p>
    <w:p w14:paraId="4C51AFD3">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3: Customers don't favor one payment method</w:t>
      </w:r>
      <w:r>
        <w:rPr>
          <w:rFonts w:ascii="Calibri" w:hAnsi="Calibri" w:cs="Calibri"/>
          <w:color w:val="404040" w:themeColor="text1" w:themeTint="BF"/>
          <w:sz w:val="40"/>
          <w:szCs w:val="40"/>
          <w14:textFill>
            <w14:solidFill>
              <w14:schemeClr w14:val="tx1">
                <w14:lumMod w14:val="75000"/>
                <w14:lumOff w14:val="25000"/>
              </w14:schemeClr>
            </w14:solidFill>
          </w14:textFill>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Cash (₹538K), Credit Card (₹507K), and Digital Wallet (₹507K) are all close in value. Customers seem comfortable using any payment method, so there's no real need to push one option over another right now.</w:t>
      </w:r>
    </w:p>
    <w:p w14:paraId="74D30678">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4: Discounts aren't clearly boosting sales</w:t>
      </w:r>
      <w:r>
        <w:rPr>
          <w:rFonts w:ascii="Calibri" w:hAnsi="Calibri" w:cs="Calibri"/>
          <w:color w:val="1F4E78"/>
          <w:sz w:val="24"/>
          <w:szCs w:val="24"/>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Revenue from discounted orders (₹512K) and non-discounted orders (₹515K) are almost the same. This raises a fair question — are discounts actually bringing in more sales, or are they just cutting into profit on purchases that would have happened anyway? To really know for sure, the store could run a simple A/B test — offer a discount on a set of products for a while, keep another similar set at full price, then compare how each group performs. That would give a much clearer answer than looking at past data alone.</w:t>
      </w:r>
    </w:p>
    <w:p w14:paraId="5EAC1B1C">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5: A lot of discount data is missing</w:t>
      </w:r>
      <w:r>
        <w:rPr>
          <w:rFonts w:ascii="Calibri" w:hAnsi="Calibri" w:cs="Calibri"/>
          <w:color w:val="1F4E78"/>
          <w:sz w:val="24"/>
          <w:szCs w:val="24"/>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Here's something odd — the single biggest chunk of revenue (₹524K) comes from orders where nobody even recorded whether a discount was applied or not. It's marked "Not Applicable," and it's bigger than both the "discount given" and "no discount" groups combined would suggest. This isn't really a sales pattern, it's more likely a gap at the billing counter — someone isn't filling this field in consistently. Until that gets fixed, it's hard to fully trust the discount findings above, since we're missing context on a third of all orders.</w:t>
      </w:r>
    </w:p>
    <w:p w14:paraId="0B98E235">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6: Many products aren't being tracked properly</w:t>
      </w:r>
      <w:r>
        <w:rPr>
          <w:rFonts w:ascii="Calibri" w:hAnsi="Calibri" w:cs="Calibri"/>
          <w:color w:val="1F4E78"/>
          <w:sz w:val="24"/>
          <w:szCs w:val="24"/>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The top-selling "item" in the data isn't a real product — it's just labeled "Unknown" (₹79K). This means a good chunk of sales can't be linked to an actual product, which makes it hard to know which items are truly the best sellers.</w:t>
      </w:r>
    </w:p>
    <w:p w14:paraId="032AC75A">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b/>
          <w:bCs/>
          <w:color w:val="1F4E78"/>
          <w:sz w:val="24"/>
          <w:szCs w:val="24"/>
        </w:rPr>
        <w:t>Insight 7: January stands out with a revenue spike</w:t>
      </w:r>
      <w:r>
        <w:rPr>
          <w:rFonts w:ascii="Calibri" w:hAnsi="Calibri" w:cs="Calibri"/>
          <w:color w:val="1F4E78"/>
          <w:sz w:val="24"/>
          <w:szCs w:val="24"/>
        </w:rPr>
        <w:br w:type="textWrapping"/>
      </w:r>
      <w:r>
        <w:rPr>
          <w:rFonts w:ascii="Calibri" w:hAnsi="Calibri" w:cs="Calibri"/>
          <w:color w:val="404040" w:themeColor="text1" w:themeTint="BF"/>
          <w:szCs w:val="22"/>
          <w14:textFill>
            <w14:solidFill>
              <w14:schemeClr w14:val="tx1">
                <w14:lumMod w14:val="75000"/>
                <w14:lumOff w14:val="25000"/>
              </w14:schemeClr>
            </w14:solidFill>
          </w14:textFill>
        </w:rPr>
        <w:t>Revenue is way higher in January (₹174K) compared to the rest of the year, which mostly stays between ₹119K and ₹131K. October is the lowest point (₹119.41K). This is a bit unusual — normally you'd expect December to be the strongest month for retail, not January. It might be worth checking if there was some kind of promotion or New Year rush that caused this. Going forward, the store could stock up more before January and maybe run small promotions in slower months like October and February to even things out.</w:t>
      </w:r>
    </w:p>
    <w:p w14:paraId="0C9DA956">
      <w:pPr>
        <w:pBdr>
          <w:bottom w:val="single" w:color="auto" w:sz="4" w:space="1"/>
        </w:pBdr>
        <w:rPr>
          <w:rFonts w:ascii="Calibri" w:hAnsi="Calibri" w:cs="Calibri"/>
          <w:b/>
          <w:bCs/>
          <w:color w:val="1F4E78"/>
          <w:sz w:val="28"/>
          <w:szCs w:val="28"/>
        </w:rPr>
      </w:pPr>
    </w:p>
    <w:p w14:paraId="225829C3">
      <w:pPr>
        <w:pBdr>
          <w:bottom w:val="single" w:color="auto" w:sz="4" w:space="1"/>
        </w:pBdr>
        <w:rPr>
          <w:rFonts w:ascii="Calibri" w:hAnsi="Calibri" w:cs="Calibri"/>
          <w:b/>
          <w:bCs/>
          <w:color w:val="1F4E78"/>
          <w:sz w:val="28"/>
          <w:szCs w:val="28"/>
        </w:rPr>
      </w:pPr>
    </w:p>
    <w:p w14:paraId="4569230B">
      <w:pPr>
        <w:pBdr>
          <w:bottom w:val="single" w:color="auto" w:sz="4" w:space="1"/>
        </w:pBdr>
        <w:rPr>
          <w:rFonts w:ascii="Calibri" w:hAnsi="Calibri" w:cs="Calibri"/>
          <w:color w:val="1F4E78"/>
          <w:sz w:val="28"/>
          <w:szCs w:val="28"/>
        </w:rPr>
      </w:pPr>
      <w:r>
        <w:rPr>
          <w:rFonts w:ascii="Calibri" w:hAnsi="Calibri" w:cs="Calibri"/>
          <w:b/>
          <w:bCs/>
          <w:color w:val="1F4E78"/>
          <w:sz w:val="28"/>
          <w:szCs w:val="28"/>
        </w:rPr>
        <w:t>7. Dashboard</w:t>
      </w:r>
    </w:p>
    <w:p w14:paraId="6D7238EE">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The findings above are drawn from the interactive dashboard shown below, which includes KPI summary cards, category and item breakdowns, channel and payment splits, discount impact, and a monthly revenue trend — all filterable by Category, Item, Payment Method, Location, Discount status, Year, Quarter, Month, and Day.</w:t>
      </w:r>
    </w:p>
    <w:p w14:paraId="26D345AA">
      <w:pPr>
        <w:rPr>
          <w:rFonts w:ascii="Calibri" w:hAnsi="Calibri" w:cs="Calibri"/>
          <w:color w:val="404040" w:themeColor="text1" w:themeTint="BF"/>
          <w:sz w:val="40"/>
          <w:szCs w:val="40"/>
          <w14:textFill>
            <w14:solidFill>
              <w14:schemeClr w14:val="tx1">
                <w14:lumMod w14:val="75000"/>
                <w14:lumOff w14:val="25000"/>
              </w14:schemeClr>
            </w14:solidFill>
          </w14:textFill>
        </w:rPr>
      </w:pPr>
      <w:r>
        <w:rPr>
          <w:rFonts w:ascii="Calibri" w:hAnsi="Calibri" w:cs="Calibri"/>
          <w:color w:val="000000" w:themeColor="text1"/>
          <w:sz w:val="40"/>
          <w:szCs w:val="40"/>
          <w14:textFill>
            <w14:solidFill>
              <w14:schemeClr w14:val="tx1"/>
            </w14:solidFill>
          </w14:textFill>
        </w:rPr>
        <w:drawing>
          <wp:inline distT="0" distB="0" distL="0" distR="0">
            <wp:extent cx="5731510" cy="2894965"/>
            <wp:effectExtent l="0" t="0" r="2540" b="635"/>
            <wp:docPr id="12799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0743"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p>
    <w:p w14:paraId="1670C612">
      <w:pPr>
        <w:pBdr>
          <w:bottom w:val="single" w:color="auto" w:sz="4" w:space="1"/>
        </w:pBdr>
        <w:rPr>
          <w:rFonts w:ascii="Calibri" w:hAnsi="Calibri" w:cs="Calibri"/>
          <w:color w:val="1F4E78"/>
          <w:sz w:val="28"/>
          <w:szCs w:val="28"/>
        </w:rPr>
      </w:pPr>
      <w:r>
        <w:rPr>
          <w:rFonts w:ascii="Calibri" w:hAnsi="Calibri" w:cs="Calibri"/>
          <w:b/>
          <w:bCs/>
          <w:color w:val="1F4E78"/>
          <w:sz w:val="28"/>
          <w:szCs w:val="28"/>
        </w:rPr>
        <w:t>8. Recommendations</w:t>
      </w:r>
    </w:p>
    <w:p w14:paraId="7F6B5CB4">
      <w:pPr>
        <w:numPr>
          <w:ilvl w:val="0"/>
          <w:numId w:val="4"/>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Investigate why 33% of transactions lack a recorded discount status — likely a point-of-sale data capture gap rather than a true business pattern.</w:t>
      </w:r>
    </w:p>
    <w:p w14:paraId="54D0601F">
      <w:pPr>
        <w:numPr>
          <w:ilvl w:val="0"/>
          <w:numId w:val="4"/>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Fix item-level tracking before making product decisions, since 'Unknown' is currently the top revenue-generating line item.</w:t>
      </w:r>
    </w:p>
    <w:p w14:paraId="5904737B">
      <w:pPr>
        <w:numPr>
          <w:ilvl w:val="0"/>
          <w:numId w:val="4"/>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Run a controlled discount test (same items, with and without discount) since discounted and non-discounted revenue are nearly equal — current discounting may not be driving incremental sales.</w:t>
      </w:r>
    </w:p>
    <w:p w14:paraId="1ACF16F1">
      <w:pPr>
        <w:numPr>
          <w:ilvl w:val="0"/>
          <w:numId w:val="4"/>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Explore category-specific bundling for high-frequency, lower-value categories like Milk Products to lift average transaction value.</w:t>
      </w:r>
    </w:p>
    <w:p w14:paraId="15AFEC8D">
      <w:pPr>
        <w:numPr>
          <w:ilvl w:val="0"/>
          <w:numId w:val="4"/>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Continue monitoring the In-store vs Online balance so future marketing spend is not skewed toward the channel that already performs well.</w:t>
      </w:r>
    </w:p>
    <w:p w14:paraId="141FC9B4">
      <w:pPr>
        <w:pBdr>
          <w:bottom w:val="single" w:color="auto" w:sz="4" w:space="0"/>
        </w:pBdr>
        <w:spacing w:before="400"/>
        <w:rPr>
          <w:rFonts w:cs="Times New Roman"/>
          <w:color w:val="1F4E78"/>
          <w:sz w:val="20"/>
          <w:szCs w:val="18"/>
        </w:rPr>
      </w:pPr>
      <w:r>
        <w:rPr>
          <w:b/>
          <w:bCs/>
          <w:color w:val="1F4E78"/>
          <w:sz w:val="28"/>
          <w:szCs w:val="28"/>
        </w:rPr>
        <w:t>9. Case Study: Discount Strategy Effectiveness</w:t>
      </w:r>
    </w:p>
    <w:p w14:paraId="43DDE9BB">
      <w:pPr>
        <w:rPr>
          <w:rFonts w:ascii="Calibri" w:hAnsi="Calibri" w:cs="Calibri"/>
          <w:b/>
          <w:bCs/>
          <w:color w:val="1F4E78"/>
          <w:sz w:val="24"/>
          <w:szCs w:val="24"/>
        </w:rPr>
      </w:pPr>
      <w:r>
        <w:rPr>
          <w:rFonts w:ascii="Calibri" w:hAnsi="Calibri" w:cs="Calibri"/>
          <w:b/>
          <w:bCs/>
          <w:color w:val="1F4E78"/>
          <w:sz w:val="24"/>
          <w:szCs w:val="24"/>
        </w:rPr>
        <w:t>The Business Question</w:t>
      </w:r>
    </w:p>
    <w:p w14:paraId="7BFC6DCD">
      <w:pPr>
        <w:rPr>
          <w:rFonts w:ascii="Calibri" w:hAnsi="Calibri" w:cs="Calibri"/>
          <w:color w:val="747474" w:themeColor="background2" w:themeShade="80"/>
          <w:szCs w:val="22"/>
        </w:rPr>
      </w:pPr>
      <w:r>
        <w:rPr>
          <w:rFonts w:ascii="Calibri" w:hAnsi="Calibri" w:cs="Calibri"/>
          <w:i/>
          <w:iCs/>
          <w:color w:val="747474" w:themeColor="background2" w:themeShade="80"/>
          <w:szCs w:val="22"/>
        </w:rPr>
        <w:t>"Our discount strategy has been running for a while now. Is it actually helping us sell more, or is it just cutting into our profit? And separately — why do a third of our transactions have no discount record at all?" — Store Operations Manager</w:t>
      </w:r>
    </w:p>
    <w:p w14:paraId="133C4CFE">
      <w:pPr>
        <w:rPr>
          <w:rFonts w:ascii="Calibri" w:hAnsi="Calibri" w:cs="Calibri"/>
          <w:color w:val="747474" w:themeColor="background2" w:themeShade="80"/>
          <w:szCs w:val="22"/>
        </w:rPr>
      </w:pPr>
    </w:p>
    <w:p w14:paraId="7C031A0C">
      <w:pPr>
        <w:rPr>
          <w:rFonts w:ascii="Calibri" w:hAnsi="Calibri" w:cs="Calibri"/>
          <w:color w:val="1F4E78"/>
          <w:sz w:val="24"/>
          <w:szCs w:val="24"/>
        </w:rPr>
      </w:pPr>
      <w:r>
        <w:rPr>
          <w:rFonts w:ascii="Calibri" w:hAnsi="Calibri" w:cs="Calibri"/>
          <w:b/>
          <w:bCs/>
          <w:color w:val="1F4E78"/>
          <w:sz w:val="24"/>
          <w:szCs w:val="24"/>
        </w:rPr>
        <w:t>Approach</w:t>
      </w:r>
    </w:p>
    <w:p w14:paraId="1E0B2769">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Cleaned and profiled all 12,575 transactions, flagging columns with high rates of missing data.</w:t>
      </w:r>
    </w:p>
    <w:p w14:paraId="2CF3B419">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Built a pivot comparison of revenue from discounted vs. non-discounted transactions.</w:t>
      </w:r>
    </w:p>
    <w:p w14:paraId="1C50EB77">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Separately examined the transactions with no discount status recorded, to check whether this was a data issue or a real pattern.</w:t>
      </w:r>
    </w:p>
    <w:p w14:paraId="6765F989">
      <w:pPr>
        <w:rPr>
          <w:rFonts w:ascii="Calibri" w:hAnsi="Calibri" w:cs="Calibri"/>
          <w:color w:val="1F4E78"/>
          <w:sz w:val="24"/>
          <w:szCs w:val="24"/>
        </w:rPr>
      </w:pPr>
      <w:r>
        <w:rPr>
          <w:rFonts w:ascii="Calibri" w:hAnsi="Calibri" w:cs="Calibri"/>
          <w:b/>
          <w:bCs/>
          <w:color w:val="1F4E78"/>
          <w:sz w:val="24"/>
          <w:szCs w:val="24"/>
        </w:rPr>
        <w:t>What I Found</w:t>
      </w:r>
    </w:p>
    <w:p w14:paraId="4E22FDA5">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Discounted transactions brought in ₹512K, non-discounted brought in ₹515K — essentially no difference.</w:t>
      </w:r>
    </w:p>
    <w:p w14:paraId="2F698CF7">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₹524K in revenue — the single largest slice — came from transactions where discount status was never recorded at all.</w:t>
      </w:r>
    </w:p>
    <w:p w14:paraId="7F51BA64">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This missing data is spread in a way that looks like a checkout-process gap, not a deliberate business decision.</w:t>
      </w:r>
    </w:p>
    <w:p w14:paraId="7D688649">
      <w:pPr>
        <w:rPr>
          <w:rFonts w:ascii="Calibri" w:hAnsi="Calibri" w:cs="Calibri"/>
          <w:color w:val="1F4E78"/>
          <w:sz w:val="24"/>
          <w:szCs w:val="24"/>
        </w:rPr>
      </w:pPr>
      <w:r>
        <w:rPr>
          <w:rFonts w:ascii="Calibri" w:hAnsi="Calibri" w:cs="Calibri"/>
          <w:b/>
          <w:bCs/>
          <w:color w:val="1F4E78"/>
          <w:sz w:val="24"/>
          <w:szCs w:val="24"/>
        </w:rPr>
        <w:t>Recommendation</w:t>
      </w:r>
    </w:p>
    <w:p w14:paraId="2DF49761">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I'd hold off on expanding the discount strategy for now— the data doesn't show it's driving extra sales.</w:t>
      </w:r>
    </w:p>
    <w:p w14:paraId="1B603DA1">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I'd suggest running an A/B test: apply discounts to one set of products and not another, over the same time period, then compare.</w:t>
      </w:r>
    </w:p>
    <w:p w14:paraId="562917B6">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I’d fix the point-of-sale process so every transaction logs discount status — without this, future analysis will keep running into the same blind spot.</w:t>
      </w:r>
    </w:p>
    <w:p w14:paraId="017F933D">
      <w:pPr>
        <w:numPr>
          <w:ilvl w:val="0"/>
          <w:numId w:val="5"/>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I'd revisit these numbers again in 60 days, once cleaner data is coming in, to make a more confident call.</w:t>
      </w:r>
    </w:p>
    <w:p w14:paraId="04095428">
      <w:pPr>
        <w:pBdr>
          <w:bottom w:val="single" w:color="auto" w:sz="4" w:space="1"/>
        </w:pBdr>
        <w:rPr>
          <w:rFonts w:ascii="Calibri" w:hAnsi="Calibri" w:cs="Calibri"/>
          <w:b/>
          <w:bCs/>
          <w:color w:val="163E64" w:themeColor="text2" w:themeTint="E6"/>
          <w:sz w:val="28"/>
          <w:szCs w:val="28"/>
          <w14:textFill>
            <w14:solidFill>
              <w14:schemeClr w14:val="tx2">
                <w14:lumMod w14:val="90000"/>
                <w14:lumOff w14:val="10000"/>
              </w14:schemeClr>
            </w14:solidFill>
          </w14:textFill>
        </w:rPr>
      </w:pPr>
      <w:r>
        <w:rPr>
          <w:rFonts w:ascii="Calibri" w:hAnsi="Calibri" w:cs="Calibri"/>
          <w:b/>
          <w:bCs/>
          <w:color w:val="163E64" w:themeColor="text2" w:themeTint="E6"/>
          <w:sz w:val="28"/>
          <w:szCs w:val="28"/>
          <w14:textFill>
            <w14:solidFill>
              <w14:schemeClr w14:val="tx2">
                <w14:lumMod w14:val="90000"/>
                <w14:lumOff w14:val="10000"/>
              </w14:schemeClr>
            </w14:solidFill>
          </w14:textFill>
        </w:rPr>
        <w:t>10. Assumptions &amp; Data Governance</w:t>
      </w:r>
    </w:p>
    <w:p w14:paraId="74EE3422">
      <w:pPr>
        <w:numPr>
          <w:ilvl w:val="0"/>
          <w:numId w:val="6"/>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Missing 'Discount Applied' values were treated as 'Not Applicable' rather than assumed to be either discounted or non-discounted.</w:t>
      </w:r>
    </w:p>
    <w:p w14:paraId="7152DFA1">
      <w:pPr>
        <w:numPr>
          <w:ilvl w:val="0"/>
          <w:numId w:val="6"/>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Missing 'Item' values were labeled 'Unknown' and retained in the analysis rather than dropped, so revenue totals stay accurate.</w:t>
      </w:r>
    </w:p>
    <w:p w14:paraId="135A1741">
      <w:pPr>
        <w:numPr>
          <w:ilvl w:val="0"/>
          <w:numId w:val="6"/>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Missing numeric fields (Price Per Unit, Quantity, Total Spent) were derived where possible using Total Spent = Quantity × Price Per Unit; rows that could not be reconciled this way were left as 'Unknown'.</w:t>
      </w:r>
    </w:p>
    <w:p w14:paraId="023AE485">
      <w:pPr>
        <w:numPr>
          <w:ilvl w:val="0"/>
          <w:numId w:val="6"/>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Dataset covers the full transaction history available in the Kaggle source file; no external data was merged in.</w:t>
      </w:r>
    </w:p>
    <w:p w14:paraId="2F212CC9">
      <w:pPr>
        <w:numPr>
          <w:ilvl w:val="0"/>
          <w:numId w:val="6"/>
        </w:num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All revenue figures are reported post-discount (i.e., the actual amount charged to the customer).</w:t>
      </w:r>
    </w:p>
    <w:p w14:paraId="247F9E4B">
      <w:pPr>
        <w:pBdr>
          <w:bottom w:val="single" w:color="auto" w:sz="4" w:space="1"/>
        </w:pBdr>
        <w:rPr>
          <w:rFonts w:ascii="Calibri" w:hAnsi="Calibri" w:cs="Calibri"/>
          <w:b/>
          <w:bCs/>
          <w:color w:val="163E64" w:themeColor="text2" w:themeTint="E6"/>
          <w:sz w:val="28"/>
          <w:szCs w:val="28"/>
          <w14:textFill>
            <w14:solidFill>
              <w14:schemeClr w14:val="tx2">
                <w14:lumMod w14:val="90000"/>
                <w14:lumOff w14:val="10000"/>
              </w14:schemeClr>
            </w14:solidFill>
          </w14:textFill>
        </w:rPr>
      </w:pPr>
      <w:r>
        <w:rPr>
          <w:rFonts w:ascii="Calibri" w:hAnsi="Calibri" w:cs="Calibri"/>
          <w:b/>
          <w:bCs/>
          <w:color w:val="163E64" w:themeColor="text2" w:themeTint="E6"/>
          <w:sz w:val="28"/>
          <w:szCs w:val="28"/>
          <w14:textFill>
            <w14:solidFill>
              <w14:schemeClr w14:val="tx2">
                <w14:lumMod w14:val="90000"/>
                <w14:lumOff w14:val="10000"/>
              </w14:schemeClr>
            </w14:solidFill>
          </w14:textFill>
        </w:rPr>
        <w:t>11. Scope</w:t>
      </w:r>
    </w:p>
    <w:p w14:paraId="12E35B67">
      <w:pPr>
        <w:rPr>
          <w:rFonts w:ascii="Calibri" w:hAnsi="Calibri" w:cs="Calibri"/>
          <w:color w:val="404040" w:themeColor="text1" w:themeTint="BF"/>
          <w:szCs w:val="22"/>
          <w14:textFill>
            <w14:solidFill>
              <w14:schemeClr w14:val="tx1">
                <w14:lumMod w14:val="75000"/>
                <w14:lumOff w14:val="25000"/>
              </w14:schemeClr>
            </w14:solidFill>
          </w14:textFill>
        </w:rPr>
      </w:pPr>
      <w:r>
        <w:rPr>
          <w:rFonts w:ascii="Calibri" w:hAnsi="Calibri" w:cs="Calibri"/>
          <w:color w:val="404040" w:themeColor="text1" w:themeTint="BF"/>
          <w:szCs w:val="22"/>
          <w14:textFill>
            <w14:solidFill>
              <w14:schemeClr w14:val="tx1">
                <w14:lumMod w14:val="75000"/>
                <w14:lumOff w14:val="25000"/>
              </w14:schemeClr>
            </w14:solidFill>
          </w14:textFill>
        </w:rPr>
        <w:t>This report focuses on revenue drivers, channel/payment mix, and discount effectiveness at the overall store level. It does not include customer-level segmentation, region-wise comparison, or profit-margin analysis (cost data was not available in the source dataset) — these would require a separate analysis with additional data.</w:t>
      </w:r>
      <w:bookmarkStart w:id="0" w:name="_GoBack"/>
      <w:bookmarkEnd w:id="0"/>
    </w:p>
    <w:sectPr>
      <w:pgSz w:w="11906" w:h="16838"/>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A4348F"/>
    <w:multiLevelType w:val="multilevel"/>
    <w:tmpl w:val="1AA4348F"/>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
    <w:nsid w:val="21B677E8"/>
    <w:multiLevelType w:val="multilevel"/>
    <w:tmpl w:val="21B677E8"/>
    <w:lvl w:ilvl="0" w:tentative="0">
      <w:start w:val="1"/>
      <w:numFmt w:val="bullet"/>
      <w:lvlText w:val=""/>
      <w:lvlJc w:val="left"/>
      <w:pPr>
        <w:ind w:left="786" w:hanging="360"/>
      </w:pPr>
      <w:rPr>
        <w:rFonts w:hint="default" w:ascii="Symbol" w:hAnsi="Symbo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
    <w:nsid w:val="6D477A3C"/>
    <w:multiLevelType w:val="multilevel"/>
    <w:tmpl w:val="6D477A3C"/>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3">
    <w:nsid w:val="6DB1714A"/>
    <w:multiLevelType w:val="multilevel"/>
    <w:tmpl w:val="6DB1714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744E1B33"/>
    <w:multiLevelType w:val="multilevel"/>
    <w:tmpl w:val="744E1B33"/>
    <w:lvl w:ilvl="0" w:tentative="0">
      <w:start w:val="1"/>
      <w:numFmt w:val="bullet"/>
      <w:lvlText w:val="●"/>
      <w:lvlJc w:val="left"/>
      <w:pPr>
        <w:ind w:left="786"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5">
    <w:nsid w:val="7D987383"/>
    <w:multiLevelType w:val="multilevel"/>
    <w:tmpl w:val="7D987383"/>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2AC"/>
    <w:rsid w:val="000A748D"/>
    <w:rsid w:val="0019152F"/>
    <w:rsid w:val="002C4F3D"/>
    <w:rsid w:val="002E1029"/>
    <w:rsid w:val="0047695C"/>
    <w:rsid w:val="00491A64"/>
    <w:rsid w:val="004C27CF"/>
    <w:rsid w:val="006A2D55"/>
    <w:rsid w:val="00741BC5"/>
    <w:rsid w:val="00812C9C"/>
    <w:rsid w:val="00920794"/>
    <w:rsid w:val="00B243B3"/>
    <w:rsid w:val="00B70936"/>
    <w:rsid w:val="00C46C8D"/>
    <w:rsid w:val="00CE4E82"/>
    <w:rsid w:val="00D13B84"/>
    <w:rsid w:val="00D30FB7"/>
    <w:rsid w:val="00D832AC"/>
    <w:rsid w:val="00E8107C"/>
    <w:rsid w:val="00E831B9"/>
    <w:rsid w:val="0AA662E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Mangal" w:asciiTheme="minorHAnsi" w:hAnsiTheme="minorHAnsi" w:eastAsiaTheme="minorHAnsi"/>
      <w:kern w:val="2"/>
      <w:sz w:val="22"/>
      <w:lang w:val="en-US" w:eastAsia="en-US" w:bidi="hi-IN"/>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36"/>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29"/>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5"/>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0"/>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rFonts w:cs="Mangal"/>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99"/>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rFonts w:cs="Mangal"/>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1832</Words>
  <Characters>10101</Characters>
  <Lines>84</Lines>
  <Paragraphs>23</Paragraphs>
  <TotalTime>2</TotalTime>
  <ScaleCrop>false</ScaleCrop>
  <LinksUpToDate>false</LinksUpToDate>
  <CharactersWithSpaces>11817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2026-08-11T10:43:00Z</dcterms:created>
  <dc:creator>vicky kumar</dc:creator>
  <cp:lastModifiedBy>Vicky Kumar</cp:lastModifiedBy>
  <dcterms:modified xsi:type="dcterms:W3CDTF">2026-08-16T10:05:29Z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eyJoZGlkIjoiYjJjOTQxYzhjODMyMDAzZmE0MDJkMWFkNmJlNDkwYTUiLCJ1c2VySWQiOiI1Njc2MjcxMzExNTIifQ==</vt:lpwstr>
  </property>
  <property fmtid="{D5CDD505-2E9C-101B-9397-08002B2CF9AE}" pid="3" name="KSOProductBuildVer">
    <vt:lpwstr>1033-12.1.0.28032</vt:lpwstr>
  </property>
  <property fmtid="{D5CDD505-2E9C-101B-9397-08002B2CF9AE}" pid="4" name="ICV">
    <vt:lpwstr>8447AC0C7738430EB80B4916EE34DCF1_12</vt:lpwstr>
  </property>
</Properties>
</file>