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Stock Portfolio Analyzer</w:t>
      </w:r>
    </w:p>
    <w:p>
      <w:pPr>
        <w:pStyle w:val="Subtitle"/>
      </w:pPr>
      <w:r>
        <w:t>User and Technical Guide</w:t>
      </w:r>
    </w:p>
    <w:p>
      <w:r>
        <w:t>October 12, 2026  |  Documentation edition 1.0</w:t>
      </w:r>
    </w:p>
    <w:p>
      <w:pPr>
        <w:pStyle w:val="Heading2"/>
      </w:pPr>
      <w:r>
        <w:t>Purpose and scope</w:t>
      </w:r>
    </w:p>
    <w:p>
      <w:r>
        <w:t>Use this guide to install the application, import a portfolio, interpret the dashboard and inspect transaction-level calculations. It also explains the data contract, security boundaries and brokerage integration status for developers and operators.</w:t>
      </w:r>
    </w:p>
    <w:p>
      <w:r>
        <w:t>The application is a local Python and Streamlit dashboard for long-only stocks and ETFs in USD. CSV import and demo mode work without brokerage credentials. Analytics depend on complete transaction history or reliable opening balances, known cost basis and available prices. The application does not execute trades.</w:t>
      </w:r>
    </w:p>
    <w:p>
      <w:pPr>
        <w:pStyle w:val="Heading2"/>
      </w:pPr>
      <w:r>
        <w:t>Application capabilities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762"/>
      </w:tblGrid>
      <w:tr>
        <w:trPr>
          <w:cantSplit/>
          <w:tblHeader/>
        </w:trPr>
        <w:tc>
          <w:tcPr>
            <w:tcW w:type="dxa" w:w="2232"/>
            <w:vAlign w:val="center"/>
            <w:shd w:fill="183A50"/>
            <w:tcMar>
              <w:top w:w="65" w:type="dxa"/>
              <w:left w:w="65" w:type="dxa"/>
              <w:bottom w:w="65" w:type="dxa"/>
              <w:right w:w="65" w:type="dxa"/>
            </w:tcMar>
          </w:tcPr>
          <w:p>
            <w:pPr>
              <w:spacing w:after="20" w:before="20" w:line="245" w:lineRule="auto"/>
            </w:pPr>
            <w:r>
              <w:rPr>
                <w:b/>
                <w:color w:val="FFFFFF"/>
                <w:sz w:val="19"/>
              </w:rPr>
              <w:t>Capability</w:t>
            </w:r>
          </w:p>
        </w:tc>
        <w:tc>
          <w:tcPr>
            <w:tcW w:type="dxa" w:w="7762"/>
            <w:vAlign w:val="center"/>
            <w:shd w:fill="183A50"/>
            <w:tcMar>
              <w:top w:w="65" w:type="dxa"/>
              <w:left w:w="65" w:type="dxa"/>
              <w:bottom w:w="65" w:type="dxa"/>
              <w:right w:w="65" w:type="dxa"/>
            </w:tcMar>
          </w:tcPr>
          <w:p>
            <w:pPr>
              <w:spacing w:after="20" w:before="20" w:line="245" w:lineRule="auto"/>
            </w:pPr>
            <w:r>
              <w:rPr>
                <w:b/>
                <w:color w:val="FFFFFF"/>
                <w:sz w:val="19"/>
              </w:rPr>
              <w:t>Available behavior</w:t>
            </w:r>
          </w:p>
        </w:tc>
      </w:tr>
      <w:tr>
        <w:trPr>
          <w:cantSplit/>
        </w:trPr>
        <w:tc>
          <w:tcPr>
            <w:tcW w:type="dxa" w:w="2232"/>
            <w:vAlign w:val="center"/>
            <w:shd w:fill="FFFFFF"/>
            <w:tcMar>
              <w:top w:w="65" w:type="dxa"/>
              <w:left w:w="65" w:type="dxa"/>
              <w:bottom w:w="65" w:type="dxa"/>
              <w:right w:w="65" w:type="dxa"/>
            </w:tcMar>
          </w:tcPr>
          <w:p>
            <w:pPr>
              <w:spacing w:after="20" w:before="20" w:line="245" w:lineRule="auto"/>
            </w:pPr>
            <w:r>
              <w:rPr>
                <w:sz w:val="19"/>
              </w:rPr>
              <w:t>Portfolio import</w:t>
            </w:r>
          </w:p>
        </w:tc>
        <w:tc>
          <w:tcPr>
            <w:tcW w:type="dxa" w:w="7762"/>
            <w:vAlign w:val="center"/>
            <w:shd w:fill="FFFFFF"/>
            <w:tcMar>
              <w:top w:w="65" w:type="dxa"/>
              <w:left w:w="65" w:type="dxa"/>
              <w:bottom w:w="65" w:type="dxa"/>
              <w:right w:w="65" w:type="dxa"/>
            </w:tcMar>
          </w:tcPr>
          <w:p>
            <w:pPr>
              <w:spacing w:after="20" w:before="20" w:line="245" w:lineRule="auto"/>
            </w:pPr>
            <w:r>
              <w:rPr>
                <w:sz w:val="19"/>
              </w:rPr>
              <w:t>CSV preview, column mapping, row validation, duplicate detection and opening positions</w:t>
            </w:r>
          </w:p>
        </w:tc>
      </w:tr>
      <w:tr>
        <w:trPr>
          <w:cantSplit/>
        </w:trPr>
        <w:tc>
          <w:tcPr>
            <w:tcW w:type="dxa" w:w="2232"/>
            <w:vAlign w:val="center"/>
            <w:shd w:fill="F0F4F7"/>
            <w:tcMar>
              <w:top w:w="65" w:type="dxa"/>
              <w:left w:w="65" w:type="dxa"/>
              <w:bottom w:w="65" w:type="dxa"/>
              <w:right w:w="65" w:type="dxa"/>
            </w:tcMar>
          </w:tcPr>
          <w:p>
            <w:pPr>
              <w:spacing w:after="20" w:before="20" w:line="245" w:lineRule="auto"/>
            </w:pPr>
            <w:r>
              <w:rPr>
                <w:sz w:val="19"/>
              </w:rPr>
              <w:t>Summary dashboard</w:t>
            </w:r>
          </w:p>
        </w:tc>
        <w:tc>
          <w:tcPr>
            <w:tcW w:type="dxa" w:w="7762"/>
            <w:vAlign w:val="center"/>
            <w:shd w:fill="F0F4F7"/>
            <w:tcMar>
              <w:top w:w="65" w:type="dxa"/>
              <w:left w:w="65" w:type="dxa"/>
              <w:bottom w:w="65" w:type="dxa"/>
              <w:right w:w="65" w:type="dxa"/>
            </w:tcMar>
          </w:tcPr>
          <w:p>
            <w:pPr>
              <w:spacing w:after="20" w:before="20" w:line="245" w:lineRule="auto"/>
            </w:pPr>
            <w:r>
              <w:rPr>
                <w:sz w:val="19"/>
              </w:rPr>
              <w:t>Portfolio metrics, configurable allocation and activity charts, and a holdings table</w:t>
            </w:r>
          </w:p>
        </w:tc>
      </w:tr>
      <w:tr>
        <w:trPr>
          <w:cantSplit/>
        </w:trPr>
        <w:tc>
          <w:tcPr>
            <w:tcW w:type="dxa" w:w="2232"/>
            <w:vAlign w:val="center"/>
            <w:shd w:fill="FFFFFF"/>
            <w:tcMar>
              <w:top w:w="65" w:type="dxa"/>
              <w:left w:w="65" w:type="dxa"/>
              <w:bottom w:w="65" w:type="dxa"/>
              <w:right w:w="65" w:type="dxa"/>
            </w:tcMar>
          </w:tcPr>
          <w:p>
            <w:pPr>
              <w:spacing w:after="20" w:before="20" w:line="245" w:lineRule="auto"/>
            </w:pPr>
            <w:r>
              <w:rPr>
                <w:sz w:val="19"/>
              </w:rPr>
              <w:t>Transaction analysis</w:t>
            </w:r>
          </w:p>
        </w:tc>
        <w:tc>
          <w:tcPr>
            <w:tcW w:type="dxa" w:w="7762"/>
            <w:vAlign w:val="center"/>
            <w:shd w:fill="FFFFFF"/>
            <w:tcMar>
              <w:top w:w="65" w:type="dxa"/>
              <w:left w:w="65" w:type="dxa"/>
              <w:bottom w:w="65" w:type="dxa"/>
              <w:right w:w="65" w:type="dxa"/>
            </w:tcMar>
          </w:tcPr>
          <w:p>
            <w:pPr>
              <w:spacing w:after="20" w:before="20" w:line="245" w:lineRule="auto"/>
            </w:pPr>
            <w:r>
              <w:rPr>
                <w:sz w:val="19"/>
              </w:rPr>
              <w:t>Account, date, symbol, type and source filters; search; FIFO sale breakdown; CSV export</w:t>
            </w:r>
          </w:p>
        </w:tc>
      </w:tr>
      <w:tr>
        <w:trPr>
          <w:cantSplit/>
        </w:trPr>
        <w:tc>
          <w:tcPr>
            <w:tcW w:type="dxa" w:w="2232"/>
            <w:vAlign w:val="center"/>
            <w:shd w:fill="F0F4F7"/>
            <w:tcMar>
              <w:top w:w="65" w:type="dxa"/>
              <w:left w:w="65" w:type="dxa"/>
              <w:bottom w:w="65" w:type="dxa"/>
              <w:right w:w="65" w:type="dxa"/>
            </w:tcMar>
          </w:tcPr>
          <w:p>
            <w:pPr>
              <w:spacing w:after="20" w:before="20" w:line="245" w:lineRule="auto"/>
            </w:pPr>
            <w:r>
              <w:rPr>
                <w:sz w:val="19"/>
              </w:rPr>
              <w:t>Pricing</w:t>
            </w:r>
          </w:p>
        </w:tc>
        <w:tc>
          <w:tcPr>
            <w:tcW w:type="dxa" w:w="7762"/>
            <w:vAlign w:val="center"/>
            <w:shd w:fill="F0F4F7"/>
            <w:tcMar>
              <w:top w:w="65" w:type="dxa"/>
              <w:left w:w="65" w:type="dxa"/>
              <w:bottom w:w="65" w:type="dxa"/>
              <w:right w:w="65" w:type="dxa"/>
            </w:tcMar>
          </w:tcPr>
          <w:p>
            <w:pPr>
              <w:spacing w:after="20" w:before="20" w:line="245" w:lineRule="auto"/>
            </w:pPr>
            <w:r>
              <w:rPr>
                <w:sz w:val="19"/>
              </w:rPr>
              <w:t>Manual prices, clearly labeled synthetic demo prices and an E*TRADE quote adapter</w:t>
            </w:r>
          </w:p>
        </w:tc>
      </w:tr>
      <w:tr>
        <w:trPr>
          <w:cantSplit/>
        </w:trPr>
        <w:tc>
          <w:tcPr>
            <w:tcW w:type="dxa" w:w="2232"/>
            <w:vAlign w:val="center"/>
            <w:shd w:fill="FFFFFF"/>
            <w:tcMar>
              <w:top w:w="65" w:type="dxa"/>
              <w:left w:w="65" w:type="dxa"/>
              <w:bottom w:w="65" w:type="dxa"/>
              <w:right w:w="65" w:type="dxa"/>
            </w:tcMar>
          </w:tcPr>
          <w:p>
            <w:pPr>
              <w:spacing w:after="20" w:before="20" w:line="245" w:lineRule="auto"/>
            </w:pPr>
            <w:r>
              <w:rPr>
                <w:sz w:val="19"/>
              </w:rPr>
              <w:t>Brokerage access</w:t>
            </w:r>
          </w:p>
        </w:tc>
        <w:tc>
          <w:tcPr>
            <w:tcW w:type="dxa" w:w="7762"/>
            <w:vAlign w:val="center"/>
            <w:shd w:fill="FFFFFF"/>
            <w:tcMar>
              <w:top w:w="65" w:type="dxa"/>
              <w:left w:w="65" w:type="dxa"/>
              <w:bottom w:w="65" w:type="dxa"/>
              <w:right w:w="65" w:type="dxa"/>
            </w:tcMar>
          </w:tcPr>
          <w:p>
            <w:pPr>
              <w:spacing w:after="20" w:before="20" w:line="245" w:lineRule="auto"/>
            </w:pPr>
            <w:r>
              <w:rPr>
                <w:sz w:val="19"/>
              </w:rPr>
              <w:t>E*TRADE OAuth adapter; Robinhood CSV fallback in this configuration</w:t>
            </w:r>
          </w:p>
        </w:tc>
      </w:tr>
    </w:tbl>
    <w:p>
      <w:pPr>
        <w:pStyle w:val="Heading2"/>
        <w:spacing w:before="160"/>
      </w:pPr>
      <w:r>
        <w:t>Guide contents</w:t>
      </w:r>
    </w:p>
    <w:p>
      <w:r>
        <w:t>2  Installation and configuration</w:t>
      </w:r>
    </w:p>
    <w:p>
      <w:r>
        <w:t>3  Importing transaction data</w:t>
      </w:r>
    </w:p>
    <w:p>
      <w:r>
        <w:t>4  Opening balances and reporting controls</w:t>
      </w:r>
    </w:p>
    <w:p>
      <w:r>
        <w:t>5  Summary dashboard and chart options</w:t>
      </w:r>
    </w:p>
    <w:p>
      <w:r>
        <w:t>6  Transaction details and price management</w:t>
      </w:r>
    </w:p>
    <w:p>
      <w:r>
        <w:t>7  Financial methodology and sample results</w:t>
      </w:r>
    </w:p>
    <w:p>
      <w:r>
        <w:t>8  Brokerage connections and verification status</w:t>
      </w:r>
    </w:p>
    <w:p>
      <w:r>
        <w:t>9  Security development and troubleshooting</w:t>
      </w:r>
    </w:p>
    <w:p>
      <w:r>
        <w:t>Operating boundary: Historical portfolio value and investment returns remain unavailable because a historical market-data and corporate-action provider is not configured. Brokerage access has not been verified with live credentials.</w:t>
      </w:r>
    </w:p>
    <w:p>
      <w:pPr>
        <w:pStyle w:val="Heading1"/>
        <w:pageBreakBefore/>
      </w:pPr>
      <w:r>
        <w:t>2 Installation and configuration</w:t>
      </w:r>
    </w:p>
    <w:p>
      <w:pPr>
        <w:pStyle w:val="Heading2"/>
      </w:pPr>
      <w:r>
        <w:t>Prepare the Python environment</w:t>
      </w:r>
    </w:p>
    <w:p>
      <w:r>
        <w:t>Use Python 3.11 or later with OpenSSL for broker HTTPS access. Python 3.9 can run the CSV and demo application, but Apple system Python may emit an urllib3 warning because it uses LibreSSL. Run these commands from the project root.</w:t>
      </w:r>
    </w:p>
    <w:p>
      <w:pPr>
        <w:pStyle w:val="Code"/>
      </w:pPr>
      <w:r>
        <w:t>python3 -m venv .venv</w:t>
        <w:br/>
        <w:t>source .venv/bin/activate</w:t>
        <w:br/>
        <w:t>python -m pip install -r requirements.txt</w:t>
        <w:br/>
        <w:t>python -m streamlit run app.py</w:t>
      </w:r>
    </w:p>
    <w:p>
      <w:r>
        <w:t>Open http://localhost:8501 in a browser. On Windows, activate the environment with .venv\Scripts\activate. Stop the server with Ctrl+C in the terminal where it is running.</w:t>
      </w:r>
    </w:p>
    <w:p>
      <w:pPr>
        <w:pStyle w:val="Heading2"/>
      </w:pPr>
      <w:r>
        <w:t>Configure optional environment variables</w:t>
      </w:r>
    </w:p>
    <w:p>
      <w:r>
        <w:t>CSV and demo modes need no secrets. For E*TRADE, copy the example configuration to .env, enter the matching consumer key and secret, and restart the app. Never add real secrets to source control.</w:t>
      </w:r>
    </w:p>
    <w:p>
      <w:pPr>
        <w:pStyle w:val="Code"/>
      </w:pPr>
      <w:r>
        <w:t>cp .env.example .env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5112"/>
        <w:gridCol w:w="1930"/>
      </w:tblGrid>
      <w:tr>
        <w:trPr>
          <w:cantSplit/>
          <w:tblHeader/>
        </w:trPr>
        <w:tc>
          <w:tcPr>
            <w:tcW w:type="dxa" w:w="2952"/>
            <w:vAlign w:val="center"/>
            <w:shd w:fill="183A50"/>
            <w:tcMar>
              <w:top w:w="65" w:type="dxa"/>
              <w:left w:w="65" w:type="dxa"/>
              <w:bottom w:w="65" w:type="dxa"/>
              <w:right w:w="65" w:type="dxa"/>
            </w:tcMar>
          </w:tcPr>
          <w:p>
            <w:pPr>
              <w:spacing w:after="20" w:before="20" w:line="245" w:lineRule="auto"/>
            </w:pPr>
            <w:r>
              <w:rPr>
                <w:b/>
                <w:color w:val="FFFFFF"/>
                <w:sz w:val="19"/>
              </w:rPr>
              <w:t>Variable</w:t>
            </w:r>
          </w:p>
        </w:tc>
        <w:tc>
          <w:tcPr>
            <w:tcW w:type="dxa" w:w="5112"/>
            <w:vAlign w:val="center"/>
            <w:shd w:fill="183A50"/>
            <w:tcMar>
              <w:top w:w="65" w:type="dxa"/>
              <w:left w:w="65" w:type="dxa"/>
              <w:bottom w:w="65" w:type="dxa"/>
              <w:right w:w="65" w:type="dxa"/>
            </w:tcMar>
          </w:tcPr>
          <w:p>
            <w:pPr>
              <w:spacing w:after="20" w:before="20" w:line="245" w:lineRule="auto"/>
            </w:pPr>
            <w:r>
              <w:rPr>
                <w:b/>
                <w:color w:val="FFFFFF"/>
                <w:sz w:val="19"/>
              </w:rPr>
              <w:t>Purpose</w:t>
            </w:r>
          </w:p>
        </w:tc>
        <w:tc>
          <w:tcPr>
            <w:tcW w:type="dxa" w:w="1930"/>
            <w:vAlign w:val="center"/>
            <w:shd w:fill="183A50"/>
            <w:tcMar>
              <w:top w:w="65" w:type="dxa"/>
              <w:left w:w="65" w:type="dxa"/>
              <w:bottom w:w="65" w:type="dxa"/>
              <w:right w:w="65" w:type="dxa"/>
            </w:tcMar>
          </w:tcPr>
          <w:p>
            <w:pPr>
              <w:spacing w:after="20" w:before="20" w:line="245" w:lineRule="auto"/>
              <w:jc w:val="center"/>
            </w:pPr>
            <w:r>
              <w:rPr>
                <w:b/>
                <w:color w:val="FFFFFF"/>
                <w:sz w:val="19"/>
              </w:rPr>
              <w:t>Default</w:t>
            </w:r>
          </w:p>
        </w:tc>
      </w:tr>
      <w:tr>
        <w:trPr>
          <w:cantSplit/>
        </w:trPr>
        <w:tc>
          <w:tcPr>
            <w:tcW w:type="dxa" w:w="2952"/>
            <w:vAlign w:val="center"/>
            <w:shd w:fill="FFFFFF"/>
            <w:tcMar>
              <w:top w:w="65" w:type="dxa"/>
              <w:left w:w="65" w:type="dxa"/>
              <w:bottom w:w="65" w:type="dxa"/>
              <w:right w:w="65" w:type="dxa"/>
            </w:tcMar>
          </w:tcPr>
          <w:p>
            <w:pPr>
              <w:spacing w:after="20" w:before="20" w:line="245" w:lineRule="auto"/>
            </w:pPr>
            <w:r>
              <w:rPr>
                <w:sz w:val="19"/>
              </w:rPr>
              <w:t>ETRADE_CONSUMER_KEY</w:t>
            </w:r>
          </w:p>
        </w:tc>
        <w:tc>
          <w:tcPr>
            <w:tcW w:type="dxa" w:w="5112"/>
            <w:vAlign w:val="center"/>
            <w:shd w:fill="FFFFFF"/>
            <w:tcMar>
              <w:top w:w="65" w:type="dxa"/>
              <w:left w:w="65" w:type="dxa"/>
              <w:bottom w:w="65" w:type="dxa"/>
              <w:right w:w="65" w:type="dxa"/>
            </w:tcMar>
          </w:tcPr>
          <w:p>
            <w:pPr>
              <w:spacing w:after="20" w:before="20" w:line="245" w:lineRule="auto"/>
            </w:pPr>
            <w:r>
              <w:rPr>
                <w:sz w:val="19"/>
              </w:rPr>
              <w:t>E*TRADE application consumer key</w:t>
            </w:r>
          </w:p>
        </w:tc>
        <w:tc>
          <w:tcPr>
            <w:tcW w:type="dxa" w:w="1930"/>
            <w:vAlign w:val="center"/>
            <w:shd w:fill="FFFFFF"/>
            <w:tcMar>
              <w:top w:w="65" w:type="dxa"/>
              <w:left w:w="65" w:type="dxa"/>
              <w:bottom w:w="65" w:type="dxa"/>
              <w:right w:w="65" w:type="dxa"/>
            </w:tcMar>
          </w:tcPr>
          <w:p>
            <w:pPr>
              <w:spacing w:after="20" w:before="20" w:line="245" w:lineRule="auto"/>
              <w:jc w:val="center"/>
            </w:pPr>
            <w:r>
              <w:rPr>
                <w:sz w:val="19"/>
              </w:rPr>
              <w:t>Empty</w:t>
            </w:r>
          </w:p>
        </w:tc>
      </w:tr>
      <w:tr>
        <w:trPr>
          <w:cantSplit/>
        </w:trPr>
        <w:tc>
          <w:tcPr>
            <w:tcW w:type="dxa" w:w="2952"/>
            <w:vAlign w:val="center"/>
            <w:shd w:fill="F0F4F7"/>
            <w:tcMar>
              <w:top w:w="65" w:type="dxa"/>
              <w:left w:w="65" w:type="dxa"/>
              <w:bottom w:w="65" w:type="dxa"/>
              <w:right w:w="65" w:type="dxa"/>
            </w:tcMar>
          </w:tcPr>
          <w:p>
            <w:pPr>
              <w:spacing w:after="20" w:before="20" w:line="245" w:lineRule="auto"/>
            </w:pPr>
            <w:r>
              <w:rPr>
                <w:sz w:val="19"/>
              </w:rPr>
              <w:t>ETRADE_CONSUMER_SECRET</w:t>
            </w:r>
          </w:p>
        </w:tc>
        <w:tc>
          <w:tcPr>
            <w:tcW w:type="dxa" w:w="5112"/>
            <w:vAlign w:val="center"/>
            <w:shd w:fill="F0F4F7"/>
            <w:tcMar>
              <w:top w:w="65" w:type="dxa"/>
              <w:left w:w="65" w:type="dxa"/>
              <w:bottom w:w="65" w:type="dxa"/>
              <w:right w:w="65" w:type="dxa"/>
            </w:tcMar>
          </w:tcPr>
          <w:p>
            <w:pPr>
              <w:spacing w:after="20" w:before="20" w:line="245" w:lineRule="auto"/>
            </w:pPr>
            <w:r>
              <w:rPr>
                <w:sz w:val="19"/>
              </w:rPr>
              <w:t>E*TRADE application consumer secret</w:t>
            </w:r>
          </w:p>
        </w:tc>
        <w:tc>
          <w:tcPr>
            <w:tcW w:type="dxa" w:w="1930"/>
            <w:vAlign w:val="center"/>
            <w:shd w:fill="F0F4F7"/>
            <w:tcMar>
              <w:top w:w="65" w:type="dxa"/>
              <w:left w:w="65" w:type="dxa"/>
              <w:bottom w:w="65" w:type="dxa"/>
              <w:right w:w="65" w:type="dxa"/>
            </w:tcMar>
          </w:tcPr>
          <w:p>
            <w:pPr>
              <w:spacing w:after="20" w:before="20" w:line="245" w:lineRule="auto"/>
              <w:jc w:val="center"/>
            </w:pPr>
            <w:r>
              <w:rPr>
                <w:sz w:val="19"/>
              </w:rPr>
              <w:t>Empty</w:t>
            </w:r>
          </w:p>
        </w:tc>
      </w:tr>
      <w:tr>
        <w:trPr>
          <w:cantSplit/>
        </w:trPr>
        <w:tc>
          <w:tcPr>
            <w:tcW w:type="dxa" w:w="2952"/>
            <w:vAlign w:val="center"/>
            <w:shd w:fill="FFFFFF"/>
            <w:tcMar>
              <w:top w:w="65" w:type="dxa"/>
              <w:left w:w="65" w:type="dxa"/>
              <w:bottom w:w="65" w:type="dxa"/>
              <w:right w:w="65" w:type="dxa"/>
            </w:tcMar>
          </w:tcPr>
          <w:p>
            <w:pPr>
              <w:spacing w:after="20" w:before="20" w:line="245" w:lineRule="auto"/>
            </w:pPr>
            <w:r>
              <w:rPr>
                <w:sz w:val="19"/>
              </w:rPr>
              <w:t>ETRADE_ENV</w:t>
            </w:r>
          </w:p>
        </w:tc>
        <w:tc>
          <w:tcPr>
            <w:tcW w:type="dxa" w:w="5112"/>
            <w:vAlign w:val="center"/>
            <w:shd w:fill="FFFFFF"/>
            <w:tcMar>
              <w:top w:w="65" w:type="dxa"/>
              <w:left w:w="65" w:type="dxa"/>
              <w:bottom w:w="65" w:type="dxa"/>
              <w:right w:w="65" w:type="dxa"/>
            </w:tcMar>
          </w:tcPr>
          <w:p>
            <w:pPr>
              <w:spacing w:after="20" w:before="20" w:line="245" w:lineRule="auto"/>
            </w:pPr>
            <w:r>
              <w:rPr>
                <w:sz w:val="19"/>
              </w:rPr>
              <w:t>sandbox or production environment</w:t>
            </w:r>
          </w:p>
        </w:tc>
        <w:tc>
          <w:tcPr>
            <w:tcW w:type="dxa" w:w="1930"/>
            <w:vAlign w:val="center"/>
            <w:shd w:fill="FFFFFF"/>
            <w:tcMar>
              <w:top w:w="65" w:type="dxa"/>
              <w:left w:w="65" w:type="dxa"/>
              <w:bottom w:w="65" w:type="dxa"/>
              <w:right w:w="65" w:type="dxa"/>
            </w:tcMar>
          </w:tcPr>
          <w:p>
            <w:pPr>
              <w:spacing w:after="20" w:before="20" w:line="245" w:lineRule="auto"/>
              <w:jc w:val="center"/>
            </w:pPr>
            <w:r>
              <w:rPr>
                <w:sz w:val="19"/>
              </w:rPr>
              <w:t>sandbox</w:t>
            </w:r>
          </w:p>
        </w:tc>
      </w:tr>
      <w:tr>
        <w:trPr>
          <w:cantSplit/>
        </w:trPr>
        <w:tc>
          <w:tcPr>
            <w:tcW w:type="dxa" w:w="2952"/>
            <w:vAlign w:val="center"/>
            <w:shd w:fill="F0F4F7"/>
            <w:tcMar>
              <w:top w:w="65" w:type="dxa"/>
              <w:left w:w="65" w:type="dxa"/>
              <w:bottom w:w="65" w:type="dxa"/>
              <w:right w:w="65" w:type="dxa"/>
            </w:tcMar>
          </w:tcPr>
          <w:p>
            <w:pPr>
              <w:spacing w:after="20" w:before="20" w:line="245" w:lineRule="auto"/>
            </w:pPr>
            <w:r>
              <w:rPr>
                <w:sz w:val="19"/>
              </w:rPr>
              <w:t>CSV_MAX_MB</w:t>
            </w:r>
          </w:p>
        </w:tc>
        <w:tc>
          <w:tcPr>
            <w:tcW w:type="dxa" w:w="5112"/>
            <w:vAlign w:val="center"/>
            <w:shd w:fill="F0F4F7"/>
            <w:tcMar>
              <w:top w:w="65" w:type="dxa"/>
              <w:left w:w="65" w:type="dxa"/>
              <w:bottom w:w="65" w:type="dxa"/>
              <w:right w:w="65" w:type="dxa"/>
            </w:tcMar>
          </w:tcPr>
          <w:p>
            <w:pPr>
              <w:spacing w:after="20" w:before="20" w:line="245" w:lineRule="auto"/>
            </w:pPr>
            <w:r>
              <w:rPr>
                <w:sz w:val="19"/>
              </w:rPr>
              <w:t>Application CSV upload size limit</w:t>
            </w:r>
          </w:p>
        </w:tc>
        <w:tc>
          <w:tcPr>
            <w:tcW w:type="dxa" w:w="1930"/>
            <w:vAlign w:val="center"/>
            <w:shd w:fill="F0F4F7"/>
            <w:tcMar>
              <w:top w:w="65" w:type="dxa"/>
              <w:left w:w="65" w:type="dxa"/>
              <w:bottom w:w="65" w:type="dxa"/>
              <w:right w:w="65" w:type="dxa"/>
            </w:tcMar>
          </w:tcPr>
          <w:p>
            <w:pPr>
              <w:spacing w:after="20" w:before="20" w:line="245" w:lineRule="auto"/>
              <w:jc w:val="center"/>
            </w:pPr>
            <w:r>
              <w:rPr>
                <w:sz w:val="19"/>
              </w:rPr>
              <w:t>5 MB</w:t>
            </w:r>
          </w:p>
        </w:tc>
      </w:tr>
    </w:tbl>
    <w:p>
      <w:pPr>
        <w:spacing w:before="160"/>
      </w:pPr>
      <w:r>
        <w:t>If increasing CSV_MAX_MB, also increase server.maxUploadSize in .streamlit/config.toml. The Streamlit server limit can reject a file before the application validates it.</w:t>
      </w:r>
    </w:p>
    <w:p>
      <w:pPr>
        <w:pStyle w:val="Heading2"/>
      </w:pPr>
      <w:r>
        <w:t>Start from VS Code</w:t>
      </w:r>
    </w:p>
    <w:p>
      <w:r>
        <w:t>Select the virtual environment as the Python interpreter. Run the Launch portfolio analyzer task from the Command Palette. The task uses the selected interpreter and avoids machine-specific paths.</w:t>
      </w:r>
    </w:p>
    <w:p>
      <w:pPr>
        <w:pStyle w:val="Heading2"/>
      </w:pPr>
      <w:r>
        <w:t>First use without credentials</w:t>
      </w:r>
    </w:p>
    <w:p>
      <w:pPr>
        <w:ind w:left="259" w:hanging="259"/>
      </w:pPr>
      <w:r>
        <w:t>1.  Open Start / Data Sources and select Load demo portfolio. Loading demo data replaces the current imported portfolio.</w:t>
      </w:r>
    </w:p>
    <w:p>
      <w:pPr>
        <w:ind w:left="259" w:hanging="259"/>
      </w:pPr>
      <w:r>
        <w:t>2.  Open Summary to view the metric cards and charts. The demo banner identifies synthetic prices dated April 15, 2025.</w:t>
      </w:r>
    </w:p>
    <w:p>
      <w:pPr>
        <w:ind w:left="259" w:hanging="259"/>
      </w:pPr>
      <w:r>
        <w:t>3.  Open Details to filter transactions, inspect a sale and download a filtered CSV.</w:t>
      </w:r>
    </w:p>
    <w:p>
      <w:r>
        <w:t>For a real portfolio, keep your original import files. Financial data is session-only and may be lost when the browser reconnects or the application restarts.</w:t>
      </w:r>
    </w:p>
    <w:p>
      <w:pPr>
        <w:pStyle w:val="Heading1"/>
        <w:pageBreakBefore/>
      </w:pPr>
      <w:r>
        <w:t>3 Importing transaction data</w:t>
      </w:r>
    </w:p>
    <w:p>
      <w:pPr>
        <w:pStyle w:val="Heading2"/>
      </w:pPr>
      <w:r>
        <w:t>CSV import workflow</w:t>
      </w:r>
    </w:p>
    <w:p>
      <w:pPr>
        <w:ind w:left="259" w:hanging="259"/>
      </w:pPr>
      <w:r>
        <w:t>1.  Download the example CSV from Start / Data Sources or use sample_data/transactions.csv.</w:t>
      </w:r>
    </w:p>
    <w:p>
      <w:pPr>
        <w:ind w:left="259" w:hanging="259"/>
      </w:pPr>
      <w:r>
        <w:t>2.  Upload a UTF-8 CSV file with unique headers and consistent field counts. The default limit is 5 MB; a UTF-8 BOM is accepted.</w:t>
      </w:r>
    </w:p>
    <w:p>
      <w:pPr>
        <w:ind w:left="259" w:hanging="259"/>
      </w:pPr>
      <w:r>
        <w:t>3.  Review the preview and map each required internal field to a file column. Alternate header names are supported through this mapping.</w:t>
      </w:r>
    </w:p>
    <w:p>
      <w:pPr>
        <w:ind w:left="259" w:hanging="259"/>
      </w:pPr>
      <w:r>
        <w:t>4.  Read the valid and rejected counts. Correct row-specific errors, or explicitly select the option to import valid rows only.</w:t>
      </w:r>
    </w:p>
    <w:p>
      <w:pPr>
        <w:ind w:left="259" w:hanging="259"/>
      </w:pPr>
      <w:r>
        <w:t>5.  Select Import validated transactions. Review accepted, duplicate and conflicting-ID counts. Correct rejected rows and import them again when ready.</w:t>
      </w:r>
    </w:p>
    <w:p>
      <w:pPr>
        <w:pStyle w:val="Heading2"/>
      </w:pPr>
      <w:r>
        <w:t>Transaction field reference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7661"/>
      </w:tblGrid>
      <w:tr>
        <w:trPr>
          <w:cantSplit/>
          <w:tblHeader/>
        </w:trPr>
        <w:tc>
          <w:tcPr>
            <w:tcW w:type="dxa" w:w="2333"/>
            <w:vAlign w:val="center"/>
            <w:shd w:fill="183A50"/>
            <w:tcMar>
              <w:top w:w="65" w:type="dxa"/>
              <w:left w:w="65" w:type="dxa"/>
              <w:bottom w:w="65" w:type="dxa"/>
              <w:right w:w="65" w:type="dxa"/>
            </w:tcMar>
          </w:tcPr>
          <w:p>
            <w:pPr>
              <w:spacing w:after="20" w:before="20" w:line="245" w:lineRule="auto"/>
            </w:pPr>
            <w:r>
              <w:rPr>
                <w:b/>
                <w:color w:val="FFFFFF"/>
                <w:sz w:val="19"/>
              </w:rPr>
              <w:t>Field</w:t>
            </w:r>
          </w:p>
        </w:tc>
        <w:tc>
          <w:tcPr>
            <w:tcW w:type="dxa" w:w="7661"/>
            <w:vAlign w:val="center"/>
            <w:shd w:fill="183A50"/>
            <w:tcMar>
              <w:top w:w="65" w:type="dxa"/>
              <w:left w:w="65" w:type="dxa"/>
              <w:bottom w:w="65" w:type="dxa"/>
              <w:right w:w="65" w:type="dxa"/>
            </w:tcMar>
          </w:tcPr>
          <w:p>
            <w:pPr>
              <w:spacing w:after="20" w:before="20" w:line="245" w:lineRule="auto"/>
            </w:pPr>
            <w:r>
              <w:rPr>
                <w:b/>
                <w:color w:val="FFFFFF"/>
                <w:sz w:val="19"/>
              </w:rPr>
              <w:t>Required format or meaning</w:t>
            </w:r>
          </w:p>
        </w:tc>
      </w:tr>
      <w:tr>
        <w:trPr>
          <w:cantSplit/>
        </w:trPr>
        <w:tc>
          <w:tcPr>
            <w:tcW w:type="dxa" w:w="2333"/>
            <w:vAlign w:val="center"/>
            <w:shd w:fill="FFFFFF"/>
            <w:tcMar>
              <w:top w:w="65" w:type="dxa"/>
              <w:left w:w="65" w:type="dxa"/>
              <w:bottom w:w="65" w:type="dxa"/>
              <w:right w:w="65" w:type="dxa"/>
            </w:tcMar>
          </w:tcPr>
          <w:p>
            <w:pPr>
              <w:spacing w:after="20" w:before="20" w:line="245" w:lineRule="auto"/>
            </w:pPr>
            <w:r>
              <w:rPr>
                <w:sz w:val="19"/>
              </w:rPr>
              <w:t>transaction_id</w:t>
            </w:r>
          </w:p>
        </w:tc>
        <w:tc>
          <w:tcPr>
            <w:tcW w:type="dxa" w:w="7661"/>
            <w:vAlign w:val="center"/>
            <w:shd w:fill="FFFFFF"/>
            <w:tcMar>
              <w:top w:w="65" w:type="dxa"/>
              <w:left w:w="65" w:type="dxa"/>
              <w:bottom w:w="65" w:type="dxa"/>
              <w:right w:w="65" w:type="dxa"/>
            </w:tcMar>
          </w:tcPr>
          <w:p>
            <w:pPr>
              <w:spacing w:after="20" w:before="20" w:line="245" w:lineRule="auto"/>
            </w:pPr>
            <w:r>
              <w:rPr>
                <w:sz w:val="19"/>
              </w:rPr>
              <w:t>Stable identifier, unique within source and account</w:t>
            </w:r>
          </w:p>
        </w:tc>
      </w:tr>
      <w:tr>
        <w:trPr>
          <w:cantSplit/>
        </w:trPr>
        <w:tc>
          <w:tcPr>
            <w:tcW w:type="dxa" w:w="2333"/>
            <w:vAlign w:val="center"/>
            <w:shd w:fill="F0F4F7"/>
            <w:tcMar>
              <w:top w:w="65" w:type="dxa"/>
              <w:left w:w="65" w:type="dxa"/>
              <w:bottom w:w="65" w:type="dxa"/>
              <w:right w:w="65" w:type="dxa"/>
            </w:tcMar>
          </w:tcPr>
          <w:p>
            <w:pPr>
              <w:spacing w:after="20" w:before="20" w:line="245" w:lineRule="auto"/>
            </w:pPr>
            <w:r>
              <w:rPr>
                <w:sz w:val="19"/>
              </w:rPr>
              <w:t>date</w:t>
            </w:r>
          </w:p>
        </w:tc>
        <w:tc>
          <w:tcPr>
            <w:tcW w:type="dxa" w:w="7661"/>
            <w:vAlign w:val="center"/>
            <w:shd w:fill="F0F4F7"/>
            <w:tcMar>
              <w:top w:w="65" w:type="dxa"/>
              <w:left w:w="65" w:type="dxa"/>
              <w:bottom w:w="65" w:type="dxa"/>
              <w:right w:w="65" w:type="dxa"/>
            </w:tcMar>
          </w:tcPr>
          <w:p>
            <w:pPr>
              <w:spacing w:after="20" w:before="20" w:line="245" w:lineRule="auto"/>
            </w:pPr>
            <w:r>
              <w:rPr>
                <w:sz w:val="19"/>
              </w:rPr>
              <w:t>Strict YYYY-MM-DD date</w:t>
            </w:r>
          </w:p>
        </w:tc>
      </w:tr>
      <w:tr>
        <w:trPr>
          <w:cantSplit/>
        </w:trPr>
        <w:tc>
          <w:tcPr>
            <w:tcW w:type="dxa" w:w="2333"/>
            <w:vAlign w:val="center"/>
            <w:shd w:fill="FFFFFF"/>
            <w:tcMar>
              <w:top w:w="65" w:type="dxa"/>
              <w:left w:w="65" w:type="dxa"/>
              <w:bottom w:w="65" w:type="dxa"/>
              <w:right w:w="65" w:type="dxa"/>
            </w:tcMar>
          </w:tcPr>
          <w:p>
            <w:pPr>
              <w:spacing w:after="20" w:before="20" w:line="245" w:lineRule="auto"/>
            </w:pPr>
            <w:r>
              <w:rPr>
                <w:sz w:val="19"/>
              </w:rPr>
              <w:t>account</w:t>
            </w:r>
          </w:p>
        </w:tc>
        <w:tc>
          <w:tcPr>
            <w:tcW w:type="dxa" w:w="7661"/>
            <w:vAlign w:val="center"/>
            <w:shd w:fill="FFFFFF"/>
            <w:tcMar>
              <w:top w:w="65" w:type="dxa"/>
              <w:left w:w="65" w:type="dxa"/>
              <w:bottom w:w="65" w:type="dxa"/>
              <w:right w:w="65" w:type="dxa"/>
            </w:tcMar>
          </w:tcPr>
          <w:p>
            <w:pPr>
              <w:spacing w:after="20" w:before="20" w:line="245" w:lineRule="auto"/>
            </w:pPr>
            <w:r>
              <w:rPr>
                <w:sz w:val="19"/>
              </w:rPr>
              <w:t>Nonempty account name</w:t>
            </w:r>
          </w:p>
        </w:tc>
      </w:tr>
      <w:tr>
        <w:trPr>
          <w:cantSplit/>
        </w:trPr>
        <w:tc>
          <w:tcPr>
            <w:tcW w:type="dxa" w:w="2333"/>
            <w:vAlign w:val="center"/>
            <w:shd w:fill="F0F4F7"/>
            <w:tcMar>
              <w:top w:w="65" w:type="dxa"/>
              <w:left w:w="65" w:type="dxa"/>
              <w:bottom w:w="65" w:type="dxa"/>
              <w:right w:w="65" w:type="dxa"/>
            </w:tcMar>
          </w:tcPr>
          <w:p>
            <w:pPr>
              <w:spacing w:after="20" w:before="20" w:line="245" w:lineRule="auto"/>
            </w:pPr>
            <w:r>
              <w:rPr>
                <w:sz w:val="19"/>
              </w:rPr>
              <w:t>source</w:t>
            </w:r>
          </w:p>
        </w:tc>
        <w:tc>
          <w:tcPr>
            <w:tcW w:type="dxa" w:w="7661"/>
            <w:vAlign w:val="center"/>
            <w:shd w:fill="F0F4F7"/>
            <w:tcMar>
              <w:top w:w="65" w:type="dxa"/>
              <w:left w:w="65" w:type="dxa"/>
              <w:bottom w:w="65" w:type="dxa"/>
              <w:right w:w="65" w:type="dxa"/>
            </w:tcMar>
          </w:tcPr>
          <w:p>
            <w:pPr>
              <w:spacing w:after="20" w:before="20" w:line="245" w:lineRule="auto"/>
            </w:pPr>
            <w:r>
              <w:rPr>
                <w:sz w:val="19"/>
              </w:rPr>
              <w:t>Nonempty source label; keep it stable on repeat imports</w:t>
            </w:r>
          </w:p>
        </w:tc>
      </w:tr>
      <w:tr>
        <w:trPr>
          <w:cantSplit/>
        </w:trPr>
        <w:tc>
          <w:tcPr>
            <w:tcW w:type="dxa" w:w="2333"/>
            <w:vAlign w:val="center"/>
            <w:shd w:fill="FFFFFF"/>
            <w:tcMar>
              <w:top w:w="65" w:type="dxa"/>
              <w:left w:w="65" w:type="dxa"/>
              <w:bottom w:w="65" w:type="dxa"/>
              <w:right w:w="65" w:type="dxa"/>
            </w:tcMar>
          </w:tcPr>
          <w:p>
            <w:pPr>
              <w:spacing w:after="20" w:before="20" w:line="245" w:lineRule="auto"/>
            </w:pPr>
            <w:r>
              <w:rPr>
                <w:sz w:val="19"/>
              </w:rPr>
              <w:t>symbol</w:t>
            </w:r>
          </w:p>
        </w:tc>
        <w:tc>
          <w:tcPr>
            <w:tcW w:type="dxa" w:w="7661"/>
            <w:vAlign w:val="center"/>
            <w:shd w:fill="FFFFFF"/>
            <w:tcMar>
              <w:top w:w="65" w:type="dxa"/>
              <w:left w:w="65" w:type="dxa"/>
              <w:bottom w:w="65" w:type="dxa"/>
              <w:right w:w="65" w:type="dxa"/>
            </w:tcMar>
          </w:tcPr>
          <w:p>
            <w:pPr>
              <w:spacing w:after="20" w:before="20" w:line="245" w:lineRule="auto"/>
            </w:pPr>
            <w:r>
              <w:rPr>
                <w:sz w:val="19"/>
              </w:rPr>
              <w:t>Stock or ETF ticker; required for trades and dividends</w:t>
            </w:r>
          </w:p>
        </w:tc>
      </w:tr>
      <w:tr>
        <w:trPr>
          <w:cantSplit/>
        </w:trPr>
        <w:tc>
          <w:tcPr>
            <w:tcW w:type="dxa" w:w="2333"/>
            <w:vAlign w:val="center"/>
            <w:shd w:fill="F0F4F7"/>
            <w:tcMar>
              <w:top w:w="65" w:type="dxa"/>
              <w:left w:w="65" w:type="dxa"/>
              <w:bottom w:w="65" w:type="dxa"/>
              <w:right w:w="65" w:type="dxa"/>
            </w:tcMar>
          </w:tcPr>
          <w:p>
            <w:pPr>
              <w:spacing w:after="20" w:before="20" w:line="245" w:lineRule="auto"/>
            </w:pPr>
            <w:r>
              <w:rPr>
                <w:sz w:val="19"/>
              </w:rPr>
              <w:t>transaction_type</w:t>
            </w:r>
          </w:p>
        </w:tc>
        <w:tc>
          <w:tcPr>
            <w:tcW w:type="dxa" w:w="7661"/>
            <w:vAlign w:val="center"/>
            <w:shd w:fill="F0F4F7"/>
            <w:tcMar>
              <w:top w:w="65" w:type="dxa"/>
              <w:left w:w="65" w:type="dxa"/>
              <w:bottom w:w="65" w:type="dxa"/>
              <w:right w:w="65" w:type="dxa"/>
            </w:tcMar>
          </w:tcPr>
          <w:p>
            <w:pPr>
              <w:spacing w:after="20" w:before="20" w:line="245" w:lineRule="auto"/>
            </w:pPr>
            <w:r>
              <w:rPr>
                <w:sz w:val="19"/>
              </w:rPr>
              <w:t>BUY, SELL, DIVIDEND, DEPOSIT, WITHDRAWAL or FEE</w:t>
            </w:r>
          </w:p>
        </w:tc>
      </w:tr>
      <w:tr>
        <w:trPr>
          <w:cantSplit/>
        </w:trPr>
        <w:tc>
          <w:tcPr>
            <w:tcW w:type="dxa" w:w="2333"/>
            <w:vAlign w:val="center"/>
            <w:shd w:fill="FFFFFF"/>
            <w:tcMar>
              <w:top w:w="65" w:type="dxa"/>
              <w:left w:w="65" w:type="dxa"/>
              <w:bottom w:w="65" w:type="dxa"/>
              <w:right w:w="65" w:type="dxa"/>
            </w:tcMar>
          </w:tcPr>
          <w:p>
            <w:pPr>
              <w:spacing w:after="20" w:before="20" w:line="245" w:lineRule="auto"/>
            </w:pPr>
            <w:r>
              <w:rPr>
                <w:sz w:val="19"/>
              </w:rPr>
              <w:t>quantity, price, fees</w:t>
            </w:r>
          </w:p>
        </w:tc>
        <w:tc>
          <w:tcPr>
            <w:tcW w:type="dxa" w:w="7661"/>
            <w:vAlign w:val="center"/>
            <w:shd w:fill="FFFFFF"/>
            <w:tcMar>
              <w:top w:w="65" w:type="dxa"/>
              <w:left w:w="65" w:type="dxa"/>
              <w:bottom w:w="65" w:type="dxa"/>
              <w:right w:w="65" w:type="dxa"/>
            </w:tcMar>
          </w:tcPr>
          <w:p>
            <w:pPr>
              <w:spacing w:after="20" w:before="20" w:line="245" w:lineRule="auto"/>
            </w:pPr>
            <w:r>
              <w:rPr>
                <w:sz w:val="19"/>
              </w:rPr>
              <w:t>Trades require positive quantity and nonnegative price and fees. Cash-only rows require all three to be zero.</w:t>
            </w:r>
          </w:p>
        </w:tc>
      </w:tr>
      <w:tr>
        <w:trPr>
          <w:cantSplit/>
        </w:trPr>
        <w:tc>
          <w:tcPr>
            <w:tcW w:type="dxa" w:w="2333"/>
            <w:vAlign w:val="center"/>
            <w:shd w:fill="F0F4F7"/>
            <w:tcMar>
              <w:top w:w="65" w:type="dxa"/>
              <w:left w:w="65" w:type="dxa"/>
              <w:bottom w:w="65" w:type="dxa"/>
              <w:right w:w="65" w:type="dxa"/>
            </w:tcMar>
          </w:tcPr>
          <w:p>
            <w:pPr>
              <w:spacing w:after="20" w:before="20" w:line="245" w:lineRule="auto"/>
            </w:pPr>
            <w:r>
              <w:rPr>
                <w:sz w:val="19"/>
              </w:rPr>
              <w:t>amount</w:t>
            </w:r>
          </w:p>
        </w:tc>
        <w:tc>
          <w:tcPr>
            <w:tcW w:type="dxa" w:w="7661"/>
            <w:vAlign w:val="center"/>
            <w:shd w:fill="F0F4F7"/>
            <w:tcMar>
              <w:top w:w="65" w:type="dxa"/>
              <w:left w:w="65" w:type="dxa"/>
              <w:bottom w:w="65" w:type="dxa"/>
              <w:right w:w="65" w:type="dxa"/>
            </w:tcMar>
          </w:tcPr>
          <w:p>
            <w:pPr>
              <w:spacing w:after="20" w:before="20" w:line="245" w:lineRule="auto"/>
            </w:pPr>
            <w:r>
              <w:rPr>
                <w:sz w:val="19"/>
              </w:rPr>
              <w:t>Signed net cash movement, including trade fees</w:t>
            </w:r>
          </w:p>
        </w:tc>
      </w:tr>
      <w:tr>
        <w:trPr>
          <w:cantSplit/>
        </w:trPr>
        <w:tc>
          <w:tcPr>
            <w:tcW w:type="dxa" w:w="2333"/>
            <w:vAlign w:val="center"/>
            <w:shd w:fill="FFFFFF"/>
            <w:tcMar>
              <w:top w:w="65" w:type="dxa"/>
              <w:left w:w="65" w:type="dxa"/>
              <w:bottom w:w="65" w:type="dxa"/>
              <w:right w:w="65" w:type="dxa"/>
            </w:tcMar>
          </w:tcPr>
          <w:p>
            <w:pPr>
              <w:spacing w:after="20" w:before="20" w:line="245" w:lineRule="auto"/>
            </w:pPr>
            <w:r>
              <w:rPr>
                <w:sz w:val="19"/>
              </w:rPr>
              <w:t>currency</w:t>
            </w:r>
          </w:p>
        </w:tc>
        <w:tc>
          <w:tcPr>
            <w:tcW w:type="dxa" w:w="7661"/>
            <w:vAlign w:val="center"/>
            <w:shd w:fill="FFFFFF"/>
            <w:tcMar>
              <w:top w:w="65" w:type="dxa"/>
              <w:left w:w="65" w:type="dxa"/>
              <w:bottom w:w="65" w:type="dxa"/>
              <w:right w:w="65" w:type="dxa"/>
            </w:tcMar>
          </w:tcPr>
          <w:p>
            <w:pPr>
              <w:spacing w:after="20" w:before="20" w:line="245" w:lineRule="auto"/>
            </w:pPr>
            <w:r>
              <w:rPr>
                <w:sz w:val="19"/>
              </w:rPr>
              <w:t>USD only; no automatic currency conversion</w:t>
            </w:r>
          </w:p>
        </w:tc>
      </w:tr>
    </w:tbl>
    <w:p>
      <w:pPr>
        <w:pStyle w:val="Heading2"/>
        <w:spacing w:before="160"/>
      </w:pPr>
      <w:r>
        <w:t>Trade and cash validation</w:t>
      </w:r>
    </w:p>
    <w:p>
      <w:r>
        <w:t>BUY amount = -(quantity × price + fees). SELL amount = quantity × price - fees. The absolute amount-consistency tolerance is $0.01. Fractional quantities are supported. DIVIDEND and DEPOSIT amounts must be positive; WITHDRAWAL and FEE amounts must be negative. Cash-only rows require quantity, price and fees to be zero.</w:t>
      </w:r>
    </w:p>
    <w:p>
      <w:r>
        <w:t>Do not add a separate FEE row for fees already included in a trade. This would deduct the same fee twice. Options, shorts, transfers, splits and other corporate actions are unsupported and must be reconciled outside the ordinary trade import.</w:t>
      </w:r>
    </w:p>
    <w:p>
      <w:pPr>
        <w:pStyle w:val="Heading2"/>
      </w:pPr>
      <w:r>
        <w:t>Repeated imports</w:t>
      </w:r>
    </w:p>
    <w:p>
      <w:r>
        <w:t>Duplicates are identified by source, account and transaction ID. Identical repeats do not create new rows. If an existing ID has different content, the conflict is reported and the original row is retained. Changing source or account labels defeats this identity check. Same-date transactions retain their input order.</w:t>
      </w:r>
    </w:p>
    <w:p>
      <w:pPr>
        <w:pStyle w:val="Heading1"/>
        <w:pageBreakBefore/>
      </w:pPr>
      <w:r>
        <w:t>4 Opening balances and reporting controls</w:t>
      </w:r>
    </w:p>
    <w:p>
      <w:pPr>
        <w:pStyle w:val="Heading2"/>
      </w:pPr>
      <w:r>
        <w:t>Establish a reliable starting point</w:t>
      </w:r>
    </w:p>
    <w:p>
      <w:r>
        <w:t>If the history begins after account inception, provide opening positions and cash. The app does not infer missing cost basis. Date each opening snapshot before the earliest imported transaction to avoid counting the same activity twice.</w:t>
      </w:r>
    </w:p>
    <w:p>
      <w:r>
        <w:t>In Start / Data Sources, expand Opening positions &amp; opening cash. Upload a validated opening-position CSV, preview it, and select Replace opening positions. This action replaces the entire opening-position set. Enter and save opening cash separately for each account.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618"/>
      </w:tblGrid>
      <w:tr>
        <w:trPr>
          <w:cantSplit/>
          <w:tblHeader/>
        </w:trPr>
        <w:tc>
          <w:tcPr>
            <w:tcW w:type="dxa" w:w="2376"/>
            <w:vAlign w:val="center"/>
            <w:shd w:fill="183A50"/>
            <w:tcMar>
              <w:top w:w="65" w:type="dxa"/>
              <w:left w:w="65" w:type="dxa"/>
              <w:bottom w:w="65" w:type="dxa"/>
              <w:right w:w="65" w:type="dxa"/>
            </w:tcMar>
          </w:tcPr>
          <w:p>
            <w:pPr>
              <w:spacing w:after="20" w:before="20" w:line="245" w:lineRule="auto"/>
            </w:pPr>
            <w:r>
              <w:rPr>
                <w:b/>
                <w:color w:val="FFFFFF"/>
                <w:sz w:val="19"/>
              </w:rPr>
              <w:t>Opening field</w:t>
            </w:r>
          </w:p>
        </w:tc>
        <w:tc>
          <w:tcPr>
            <w:tcW w:type="dxa" w:w="7618"/>
            <w:vAlign w:val="center"/>
            <w:shd w:fill="183A50"/>
            <w:tcMar>
              <w:top w:w="65" w:type="dxa"/>
              <w:left w:w="65" w:type="dxa"/>
              <w:bottom w:w="65" w:type="dxa"/>
              <w:right w:w="65" w:type="dxa"/>
            </w:tcMar>
          </w:tcPr>
          <w:p>
            <w:pPr>
              <w:spacing w:after="20" w:before="20" w:line="245" w:lineRule="auto"/>
            </w:pPr>
            <w:r>
              <w:rPr>
                <w:b/>
                <w:color w:val="FFFFFF"/>
                <w:sz w:val="19"/>
              </w:rPr>
              <w:t>Meaning</w:t>
            </w:r>
          </w:p>
        </w:tc>
      </w:tr>
      <w:tr>
        <w:trPr>
          <w:cantSplit/>
        </w:trPr>
        <w:tc>
          <w:tcPr>
            <w:tcW w:type="dxa" w:w="2376"/>
            <w:vAlign w:val="center"/>
            <w:shd w:fill="FFFFFF"/>
            <w:tcMar>
              <w:top w:w="65" w:type="dxa"/>
              <w:left w:w="65" w:type="dxa"/>
              <w:bottom w:w="65" w:type="dxa"/>
              <w:right w:w="65" w:type="dxa"/>
            </w:tcMar>
          </w:tcPr>
          <w:p>
            <w:pPr>
              <w:spacing w:after="20" w:before="20" w:line="245" w:lineRule="auto"/>
            </w:pPr>
            <w:r>
              <w:rPr>
                <w:sz w:val="19"/>
              </w:rPr>
              <w:t>account</w:t>
            </w:r>
          </w:p>
        </w:tc>
        <w:tc>
          <w:tcPr>
            <w:tcW w:type="dxa" w:w="7618"/>
            <w:vAlign w:val="center"/>
            <w:shd w:fill="FFFFFF"/>
            <w:tcMar>
              <w:top w:w="65" w:type="dxa"/>
              <w:left w:w="65" w:type="dxa"/>
              <w:bottom w:w="65" w:type="dxa"/>
              <w:right w:w="65" w:type="dxa"/>
            </w:tcMar>
          </w:tcPr>
          <w:p>
            <w:pPr>
              <w:spacing w:after="20" w:before="20" w:line="245" w:lineRule="auto"/>
            </w:pPr>
            <w:r>
              <w:rPr>
                <w:sz w:val="19"/>
              </w:rPr>
              <w:t>Account matching the imported transaction history</w:t>
            </w:r>
          </w:p>
        </w:tc>
      </w:tr>
      <w:tr>
        <w:trPr>
          <w:cantSplit/>
        </w:trPr>
        <w:tc>
          <w:tcPr>
            <w:tcW w:type="dxa" w:w="2376"/>
            <w:vAlign w:val="center"/>
            <w:shd w:fill="F0F4F7"/>
            <w:tcMar>
              <w:top w:w="65" w:type="dxa"/>
              <w:left w:w="65" w:type="dxa"/>
              <w:bottom w:w="65" w:type="dxa"/>
              <w:right w:w="65" w:type="dxa"/>
            </w:tcMar>
          </w:tcPr>
          <w:p>
            <w:pPr>
              <w:spacing w:after="20" w:before="20" w:line="245" w:lineRule="auto"/>
            </w:pPr>
            <w:r>
              <w:rPr>
                <w:sz w:val="19"/>
              </w:rPr>
              <w:t>symbol</w:t>
            </w:r>
          </w:p>
        </w:tc>
        <w:tc>
          <w:tcPr>
            <w:tcW w:type="dxa" w:w="7618"/>
            <w:vAlign w:val="center"/>
            <w:shd w:fill="F0F4F7"/>
            <w:tcMar>
              <w:top w:w="65" w:type="dxa"/>
              <w:left w:w="65" w:type="dxa"/>
              <w:bottom w:w="65" w:type="dxa"/>
              <w:right w:w="65" w:type="dxa"/>
            </w:tcMar>
          </w:tcPr>
          <w:p>
            <w:pPr>
              <w:spacing w:after="20" w:before="20" w:line="245" w:lineRule="auto"/>
            </w:pPr>
            <w:r>
              <w:rPr>
                <w:sz w:val="19"/>
              </w:rPr>
              <w:t>Stock or ETF ticker</w:t>
            </w:r>
          </w:p>
        </w:tc>
      </w:tr>
      <w:tr>
        <w:trPr>
          <w:cantSplit/>
        </w:trPr>
        <w:tc>
          <w:tcPr>
            <w:tcW w:type="dxa" w:w="2376"/>
            <w:vAlign w:val="center"/>
            <w:shd w:fill="FFFFFF"/>
            <w:tcMar>
              <w:top w:w="65" w:type="dxa"/>
              <w:left w:w="65" w:type="dxa"/>
              <w:bottom w:w="65" w:type="dxa"/>
              <w:right w:w="65" w:type="dxa"/>
            </w:tcMar>
          </w:tcPr>
          <w:p>
            <w:pPr>
              <w:spacing w:after="20" w:before="20" w:line="245" w:lineRule="auto"/>
            </w:pPr>
            <w:r>
              <w:rPr>
                <w:sz w:val="19"/>
              </w:rPr>
              <w:t>quantity</w:t>
            </w:r>
          </w:p>
        </w:tc>
        <w:tc>
          <w:tcPr>
            <w:tcW w:type="dxa" w:w="7618"/>
            <w:vAlign w:val="center"/>
            <w:shd w:fill="FFFFFF"/>
            <w:tcMar>
              <w:top w:w="65" w:type="dxa"/>
              <w:left w:w="65" w:type="dxa"/>
              <w:bottom w:w="65" w:type="dxa"/>
              <w:right w:w="65" w:type="dxa"/>
            </w:tcMar>
          </w:tcPr>
          <w:p>
            <w:pPr>
              <w:spacing w:after="20" w:before="20" w:line="245" w:lineRule="auto"/>
            </w:pPr>
            <w:r>
              <w:rPr>
                <w:sz w:val="19"/>
              </w:rPr>
              <w:t>Positive number of opening shares</w:t>
            </w:r>
          </w:p>
        </w:tc>
      </w:tr>
      <w:tr>
        <w:trPr>
          <w:cantSplit/>
        </w:trPr>
        <w:tc>
          <w:tcPr>
            <w:tcW w:type="dxa" w:w="2376"/>
            <w:vAlign w:val="center"/>
            <w:shd w:fill="F0F4F7"/>
            <w:tcMar>
              <w:top w:w="65" w:type="dxa"/>
              <w:left w:w="65" w:type="dxa"/>
              <w:bottom w:w="65" w:type="dxa"/>
              <w:right w:w="65" w:type="dxa"/>
            </w:tcMar>
          </w:tcPr>
          <w:p>
            <w:pPr>
              <w:spacing w:after="20" w:before="20" w:line="245" w:lineRule="auto"/>
            </w:pPr>
            <w:r>
              <w:rPr>
                <w:sz w:val="19"/>
              </w:rPr>
              <w:t>total_cost_basis</w:t>
            </w:r>
          </w:p>
        </w:tc>
        <w:tc>
          <w:tcPr>
            <w:tcW w:type="dxa" w:w="7618"/>
            <w:vAlign w:val="center"/>
            <w:shd w:fill="F0F4F7"/>
            <w:tcMar>
              <w:top w:w="65" w:type="dxa"/>
              <w:left w:w="65" w:type="dxa"/>
              <w:bottom w:w="65" w:type="dxa"/>
              <w:right w:w="65" w:type="dxa"/>
            </w:tcMar>
          </w:tcPr>
          <w:p>
            <w:pPr>
              <w:spacing w:after="20" w:before="20" w:line="245" w:lineRule="auto"/>
            </w:pPr>
            <w:r>
              <w:rPr>
                <w:sz w:val="19"/>
              </w:rPr>
              <w:t>Known total acquisition cost; nonnegative</w:t>
            </w:r>
          </w:p>
        </w:tc>
      </w:tr>
      <w:tr>
        <w:trPr>
          <w:cantSplit/>
        </w:trPr>
        <w:tc>
          <w:tcPr>
            <w:tcW w:type="dxa" w:w="2376"/>
            <w:vAlign w:val="center"/>
            <w:shd w:fill="FFFFFF"/>
            <w:tcMar>
              <w:top w:w="65" w:type="dxa"/>
              <w:left w:w="65" w:type="dxa"/>
              <w:bottom w:w="65" w:type="dxa"/>
              <w:right w:w="65" w:type="dxa"/>
            </w:tcMar>
          </w:tcPr>
          <w:p>
            <w:pPr>
              <w:spacing w:after="20" w:before="20" w:line="245" w:lineRule="auto"/>
            </w:pPr>
            <w:r>
              <w:rPr>
                <w:sz w:val="19"/>
              </w:rPr>
              <w:t>as_of_date</w:t>
            </w:r>
          </w:p>
        </w:tc>
        <w:tc>
          <w:tcPr>
            <w:tcW w:type="dxa" w:w="7618"/>
            <w:vAlign w:val="center"/>
            <w:shd w:fill="FFFFFF"/>
            <w:tcMar>
              <w:top w:w="65" w:type="dxa"/>
              <w:left w:w="65" w:type="dxa"/>
              <w:bottom w:w="65" w:type="dxa"/>
              <w:right w:w="65" w:type="dxa"/>
            </w:tcMar>
          </w:tcPr>
          <w:p>
            <w:pPr>
              <w:spacing w:after="20" w:before="20" w:line="245" w:lineRule="auto"/>
            </w:pPr>
            <w:r>
              <w:rPr>
                <w:sz w:val="19"/>
              </w:rPr>
              <w:t>Snapshot date in YYYY-MM-DD format</w:t>
            </w:r>
          </w:p>
        </w:tc>
      </w:tr>
      <w:tr>
        <w:trPr>
          <w:cantSplit/>
        </w:trPr>
        <w:tc>
          <w:tcPr>
            <w:tcW w:type="dxa" w:w="2376"/>
            <w:vAlign w:val="center"/>
            <w:shd w:fill="F0F4F7"/>
            <w:tcMar>
              <w:top w:w="65" w:type="dxa"/>
              <w:left w:w="65" w:type="dxa"/>
              <w:bottom w:w="65" w:type="dxa"/>
              <w:right w:w="65" w:type="dxa"/>
            </w:tcMar>
          </w:tcPr>
          <w:p>
            <w:pPr>
              <w:spacing w:after="20" w:before="20" w:line="245" w:lineRule="auto"/>
            </w:pPr>
            <w:r>
              <w:rPr>
                <w:sz w:val="19"/>
              </w:rPr>
              <w:t>currency</w:t>
            </w:r>
          </w:p>
        </w:tc>
        <w:tc>
          <w:tcPr>
            <w:tcW w:type="dxa" w:w="7618"/>
            <w:vAlign w:val="center"/>
            <w:shd w:fill="F0F4F7"/>
            <w:tcMar>
              <w:top w:w="65" w:type="dxa"/>
              <w:left w:w="65" w:type="dxa"/>
              <w:bottom w:w="65" w:type="dxa"/>
              <w:right w:w="65" w:type="dxa"/>
            </w:tcMar>
          </w:tcPr>
          <w:p>
            <w:pPr>
              <w:spacing w:after="20" w:before="20" w:line="245" w:lineRule="auto"/>
            </w:pPr>
            <w:r>
              <w:rPr>
                <w:sz w:val="19"/>
              </w:rPr>
              <w:t>USD</w:t>
            </w:r>
          </w:p>
        </w:tc>
      </w:tr>
    </w:tbl>
    <w:p>
      <w:pPr>
        <w:spacing w:before="160"/>
      </w:pPr>
      <w:r>
        <w:t>An opening position becomes one FIFO lot. Its average basis cannot reproduce an unknown original tax-lot order. Sale gains can therefore differ from actual tax-lot results when an opening balance combines several purchase lots.</w:t>
      </w:r>
    </w:p>
    <w:p>
      <w:pPr>
        <w:pStyle w:val="Heading2"/>
      </w:pPr>
      <w:r>
        <w:t>Use the sidebar controls</w:t>
      </w:r>
    </w:p>
    <w:p>
      <w:pPr>
        <w:pStyle w:val="ListBullet"/>
      </w:pPr>
      <w:r>
        <w:t>Account selects one account or All accounts. Financial lots remain isolated by account and symbol.</w:t>
      </w:r>
    </w:p>
    <w:p>
      <w:pPr>
        <w:pStyle w:val="ListBullet"/>
      </w:pPr>
      <w:r>
        <w:t>Reporting date range sets the end date for reconstructed holdings and the selected period for activity metrics.</w:t>
      </w:r>
    </w:p>
    <w:p>
      <w:pPr>
        <w:pStyle w:val="ListBullet"/>
      </w:pPr>
      <w:r>
        <w:t>Symbol filter narrows the holdings table, transaction list and activity data. Summary totals remain account-wide; cash is not assigned to a symbol.</w:t>
      </w:r>
    </w:p>
    <w:p>
      <w:pPr>
        <w:pStyle w:val="ListBullet"/>
      </w:pPr>
      <w:r>
        <w:t>Source and connection status identify the active data sources, E*TRADE authorization state and last successful import or synchronization.</w:t>
      </w:r>
    </w:p>
    <w:p>
      <w:pPr>
        <w:pStyle w:val="ListBullet"/>
      </w:pPr>
      <w:r>
        <w:t>Refresh quotes requests brokerage quotes when authorized or refreshes synthetic demo prices. Offline users update manual prices in Start / Data Sources.</w:t>
      </w:r>
    </w:p>
    <w:p>
      <w:pPr>
        <w:pStyle w:val="Heading2"/>
      </w:pPr>
      <w:r>
        <w:t>Confirm history completeness</w:t>
      </w:r>
    </w:p>
    <w:p>
      <w:r>
        <w:t>Enable History starts empty or opening balances are complete only when all required activity is available from the beginning of the account or from the opening snapshot. Uncheck it while reconstructing missing history. Incomplete history makes reconstructed cash, basis and gains unavailable.</w:t>
      </w:r>
    </w:p>
    <w:p>
      <w:r>
        <w:t>Transactions that overlap an opening snapshot are flagged. Sales exceeding reconstructed shares are also flagged rather than treated as short sales. Negative cash prompts a funding or margin-history review. An absence of warnings does not prove that omitted corporate actions or transactions are complete.</w:t>
      </w:r>
    </w:p>
    <w:p>
      <w:pPr>
        <w:pStyle w:val="Heading1"/>
        <w:pageBreakBefore/>
      </w:pPr>
      <w:r>
        <w:t>5 Summary dashboard and chart options</w:t>
      </w:r>
    </w:p>
    <w:p>
      <w:pPr>
        <w:pStyle w:val="Heading2"/>
      </w:pPr>
      <w:r>
        <w:t>Interpret the metric cards</w:t>
      </w:r>
    </w:p>
    <w:p>
      <w:r>
        <w:t>Current or end-date position metrics and period activity answer different questions. The engine establishes lots and cash from the complete available history before applying the reporting-period start date.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5184"/>
        <w:gridCol w:w="2218"/>
      </w:tblGrid>
      <w:tr>
        <w:trPr>
          <w:cantSplit/>
          <w:tblHeader/>
        </w:trPr>
        <w:tc>
          <w:tcPr>
            <w:tcW w:type="dxa" w:w="2592"/>
            <w:vAlign w:val="center"/>
            <w:shd w:fill="183A50"/>
            <w:tcMar>
              <w:top w:w="65" w:type="dxa"/>
              <w:left w:w="65" w:type="dxa"/>
              <w:bottom w:w="65" w:type="dxa"/>
              <w:right w:w="65" w:type="dxa"/>
            </w:tcMar>
          </w:tcPr>
          <w:p>
            <w:pPr>
              <w:spacing w:after="20" w:before="20" w:line="245" w:lineRule="auto"/>
            </w:pPr>
            <w:r>
              <w:rPr>
                <w:b/>
                <w:color w:val="FFFFFF"/>
                <w:sz w:val="19"/>
              </w:rPr>
              <w:t>Metric</w:t>
            </w:r>
          </w:p>
        </w:tc>
        <w:tc>
          <w:tcPr>
            <w:tcW w:type="dxa" w:w="5184"/>
            <w:vAlign w:val="center"/>
            <w:shd w:fill="183A50"/>
            <w:tcMar>
              <w:top w:w="65" w:type="dxa"/>
              <w:left w:w="65" w:type="dxa"/>
              <w:bottom w:w="65" w:type="dxa"/>
              <w:right w:w="65" w:type="dxa"/>
            </w:tcMar>
          </w:tcPr>
          <w:p>
            <w:pPr>
              <w:spacing w:after="20" w:before="20" w:line="245" w:lineRule="auto"/>
            </w:pPr>
            <w:r>
              <w:rPr>
                <w:b/>
                <w:color w:val="FFFFFF"/>
                <w:sz w:val="19"/>
              </w:rPr>
              <w:t>Definition</w:t>
            </w:r>
          </w:p>
        </w:tc>
        <w:tc>
          <w:tcPr>
            <w:tcW w:type="dxa" w:w="2218"/>
            <w:vAlign w:val="center"/>
            <w:shd w:fill="183A50"/>
            <w:tcMar>
              <w:top w:w="65" w:type="dxa"/>
              <w:left w:w="65" w:type="dxa"/>
              <w:bottom w:w="65" w:type="dxa"/>
              <w:right w:w="65" w:type="dxa"/>
            </w:tcMar>
          </w:tcPr>
          <w:p>
            <w:pPr>
              <w:spacing w:after="20" w:before="20" w:line="245" w:lineRule="auto"/>
              <w:jc w:val="center"/>
            </w:pPr>
            <w:r>
              <w:rPr>
                <w:b/>
                <w:color w:val="FFFFFF"/>
                <w:sz w:val="19"/>
              </w:rPr>
              <w:t>Scope</w:t>
            </w:r>
          </w:p>
        </w:tc>
      </w:tr>
      <w:tr>
        <w:trPr>
          <w:cantSplit/>
        </w:trPr>
        <w:tc>
          <w:tcPr>
            <w:tcW w:type="dxa" w:w="2592"/>
            <w:vAlign w:val="center"/>
            <w:shd w:fill="FFFFFF"/>
            <w:tcMar>
              <w:top w:w="65" w:type="dxa"/>
              <w:left w:w="65" w:type="dxa"/>
              <w:bottom w:w="65" w:type="dxa"/>
              <w:right w:w="65" w:type="dxa"/>
            </w:tcMar>
          </w:tcPr>
          <w:p>
            <w:pPr>
              <w:spacing w:after="20" w:before="20" w:line="245" w:lineRule="auto"/>
            </w:pPr>
            <w:r>
              <w:rPr>
                <w:sz w:val="19"/>
              </w:rPr>
              <w:t>Total portfolio value</w:t>
            </w:r>
          </w:p>
        </w:tc>
        <w:tc>
          <w:tcPr>
            <w:tcW w:type="dxa" w:w="5184"/>
            <w:vAlign w:val="center"/>
            <w:shd w:fill="FFFFFF"/>
            <w:tcMar>
              <w:top w:w="65" w:type="dxa"/>
              <w:left w:w="65" w:type="dxa"/>
              <w:bottom w:w="65" w:type="dxa"/>
              <w:right w:w="65" w:type="dxa"/>
            </w:tcMar>
          </w:tcPr>
          <w:p>
            <w:pPr>
              <w:spacing w:after="20" w:before="20" w:line="245" w:lineRule="auto"/>
            </w:pPr>
            <w:r>
              <w:rPr>
                <w:sz w:val="19"/>
              </w:rPr>
              <w:t>Priced holdings plus cash</w:t>
            </w:r>
          </w:p>
        </w:tc>
        <w:tc>
          <w:tcPr>
            <w:tcW w:type="dxa" w:w="2218"/>
            <w:vAlign w:val="center"/>
            <w:shd w:fill="FFFFFF"/>
            <w:tcMar>
              <w:top w:w="65" w:type="dxa"/>
              <w:left w:w="65" w:type="dxa"/>
              <w:bottom w:w="65" w:type="dxa"/>
              <w:right w:w="65" w:type="dxa"/>
            </w:tcMar>
          </w:tcPr>
          <w:p>
            <w:pPr>
              <w:spacing w:after="20" w:before="20" w:line="245" w:lineRule="auto"/>
              <w:jc w:val="center"/>
            </w:pPr>
            <w:r>
              <w:rPr>
                <w:sz w:val="19"/>
              </w:rPr>
              <w:t>Current or as of end</w:t>
            </w:r>
          </w:p>
        </w:tc>
      </w:tr>
      <w:tr>
        <w:trPr>
          <w:cantSplit/>
        </w:trPr>
        <w:tc>
          <w:tcPr>
            <w:tcW w:type="dxa" w:w="2592"/>
            <w:vAlign w:val="center"/>
            <w:shd w:fill="F0F4F7"/>
            <w:tcMar>
              <w:top w:w="65" w:type="dxa"/>
              <w:left w:w="65" w:type="dxa"/>
              <w:bottom w:w="65" w:type="dxa"/>
              <w:right w:w="65" w:type="dxa"/>
            </w:tcMar>
          </w:tcPr>
          <w:p>
            <w:pPr>
              <w:spacing w:after="20" w:before="20" w:line="245" w:lineRule="auto"/>
            </w:pPr>
            <w:r>
              <w:rPr>
                <w:sz w:val="19"/>
              </w:rPr>
              <w:t>Holdings market value</w:t>
            </w:r>
          </w:p>
        </w:tc>
        <w:tc>
          <w:tcPr>
            <w:tcW w:type="dxa" w:w="5184"/>
            <w:vAlign w:val="center"/>
            <w:shd w:fill="F0F4F7"/>
            <w:tcMar>
              <w:top w:w="65" w:type="dxa"/>
              <w:left w:w="65" w:type="dxa"/>
              <w:bottom w:w="65" w:type="dxa"/>
              <w:right w:w="65" w:type="dxa"/>
            </w:tcMar>
          </w:tcPr>
          <w:p>
            <w:pPr>
              <w:spacing w:after="20" w:before="20" w:line="245" w:lineRule="auto"/>
            </w:pPr>
            <w:r>
              <w:rPr>
                <w:sz w:val="19"/>
              </w:rPr>
              <w:t>Shares multiplied by available prices</w:t>
            </w:r>
          </w:p>
        </w:tc>
        <w:tc>
          <w:tcPr>
            <w:tcW w:type="dxa" w:w="2218"/>
            <w:vAlign w:val="center"/>
            <w:shd w:fill="F0F4F7"/>
            <w:tcMar>
              <w:top w:w="65" w:type="dxa"/>
              <w:left w:w="65" w:type="dxa"/>
              <w:bottom w:w="65" w:type="dxa"/>
              <w:right w:w="65" w:type="dxa"/>
            </w:tcMar>
          </w:tcPr>
          <w:p>
            <w:pPr>
              <w:spacing w:after="20" w:before="20" w:line="245" w:lineRule="auto"/>
              <w:jc w:val="center"/>
            </w:pPr>
            <w:r>
              <w:rPr>
                <w:sz w:val="19"/>
              </w:rPr>
              <w:t>Current or as of end</w:t>
            </w:r>
          </w:p>
        </w:tc>
      </w:tr>
      <w:tr>
        <w:trPr>
          <w:cantSplit/>
        </w:trPr>
        <w:tc>
          <w:tcPr>
            <w:tcW w:type="dxa" w:w="2592"/>
            <w:vAlign w:val="center"/>
            <w:shd w:fill="FFFFFF"/>
            <w:tcMar>
              <w:top w:w="65" w:type="dxa"/>
              <w:left w:w="65" w:type="dxa"/>
              <w:bottom w:w="65" w:type="dxa"/>
              <w:right w:w="65" w:type="dxa"/>
            </w:tcMar>
          </w:tcPr>
          <w:p>
            <w:pPr>
              <w:spacing w:after="20" w:before="20" w:line="245" w:lineRule="auto"/>
            </w:pPr>
            <w:r>
              <w:rPr>
                <w:sz w:val="19"/>
              </w:rPr>
              <w:t>Cash balance</w:t>
            </w:r>
          </w:p>
        </w:tc>
        <w:tc>
          <w:tcPr>
            <w:tcW w:type="dxa" w:w="5184"/>
            <w:vAlign w:val="center"/>
            <w:shd w:fill="FFFFFF"/>
            <w:tcMar>
              <w:top w:w="65" w:type="dxa"/>
              <w:left w:w="65" w:type="dxa"/>
              <w:bottom w:w="65" w:type="dxa"/>
              <w:right w:w="65" w:type="dxa"/>
            </w:tcMar>
          </w:tcPr>
          <w:p>
            <w:pPr>
              <w:spacing w:after="20" w:before="20" w:line="245" w:lineRule="auto"/>
            </w:pPr>
            <w:r>
              <w:rPr>
                <w:sz w:val="19"/>
              </w:rPr>
              <w:t>Opening cash plus signed cash movements</w:t>
            </w:r>
          </w:p>
        </w:tc>
        <w:tc>
          <w:tcPr>
            <w:tcW w:type="dxa" w:w="2218"/>
            <w:vAlign w:val="center"/>
            <w:shd w:fill="FFFFFF"/>
            <w:tcMar>
              <w:top w:w="65" w:type="dxa"/>
              <w:left w:w="65" w:type="dxa"/>
              <w:bottom w:w="65" w:type="dxa"/>
              <w:right w:w="65" w:type="dxa"/>
            </w:tcMar>
          </w:tcPr>
          <w:p>
            <w:pPr>
              <w:spacing w:after="20" w:before="20" w:line="245" w:lineRule="auto"/>
              <w:jc w:val="center"/>
            </w:pPr>
            <w:r>
              <w:rPr>
                <w:sz w:val="19"/>
              </w:rPr>
              <w:t>As of end</w:t>
            </w:r>
          </w:p>
        </w:tc>
      </w:tr>
      <w:tr>
        <w:trPr>
          <w:cantSplit/>
        </w:trPr>
        <w:tc>
          <w:tcPr>
            <w:tcW w:type="dxa" w:w="2592"/>
            <w:vAlign w:val="center"/>
            <w:shd w:fill="F0F4F7"/>
            <w:tcMar>
              <w:top w:w="65" w:type="dxa"/>
              <w:left w:w="65" w:type="dxa"/>
              <w:bottom w:w="65" w:type="dxa"/>
              <w:right w:w="65" w:type="dxa"/>
            </w:tcMar>
          </w:tcPr>
          <w:p>
            <w:pPr>
              <w:spacing w:after="20" w:before="20" w:line="245" w:lineRule="auto"/>
            </w:pPr>
            <w:r>
              <w:rPr>
                <w:sz w:val="19"/>
              </w:rPr>
              <w:t>Remaining cost basis</w:t>
            </w:r>
          </w:p>
        </w:tc>
        <w:tc>
          <w:tcPr>
            <w:tcW w:type="dxa" w:w="5184"/>
            <w:vAlign w:val="center"/>
            <w:shd w:fill="F0F4F7"/>
            <w:tcMar>
              <w:top w:w="65" w:type="dxa"/>
              <w:left w:w="65" w:type="dxa"/>
              <w:bottom w:w="65" w:type="dxa"/>
              <w:right w:w="65" w:type="dxa"/>
            </w:tcMar>
          </w:tcPr>
          <w:p>
            <w:pPr>
              <w:spacing w:after="20" w:before="20" w:line="245" w:lineRule="auto"/>
            </w:pPr>
            <w:r>
              <w:rPr>
                <w:sz w:val="19"/>
              </w:rPr>
              <w:t>Acquisition cost of unsold shares</w:t>
            </w:r>
          </w:p>
        </w:tc>
        <w:tc>
          <w:tcPr>
            <w:tcW w:type="dxa" w:w="2218"/>
            <w:vAlign w:val="center"/>
            <w:shd w:fill="F0F4F7"/>
            <w:tcMar>
              <w:top w:w="65" w:type="dxa"/>
              <w:left w:w="65" w:type="dxa"/>
              <w:bottom w:w="65" w:type="dxa"/>
              <w:right w:w="65" w:type="dxa"/>
            </w:tcMar>
          </w:tcPr>
          <w:p>
            <w:pPr>
              <w:spacing w:after="20" w:before="20" w:line="245" w:lineRule="auto"/>
              <w:jc w:val="center"/>
            </w:pPr>
            <w:r>
              <w:rPr>
                <w:sz w:val="19"/>
              </w:rPr>
              <w:t>As of end</w:t>
            </w:r>
          </w:p>
        </w:tc>
      </w:tr>
      <w:tr>
        <w:trPr>
          <w:cantSplit/>
        </w:trPr>
        <w:tc>
          <w:tcPr>
            <w:tcW w:type="dxa" w:w="2592"/>
            <w:vAlign w:val="center"/>
            <w:shd w:fill="FFFFFF"/>
            <w:tcMar>
              <w:top w:w="65" w:type="dxa"/>
              <w:left w:w="65" w:type="dxa"/>
              <w:bottom w:w="65" w:type="dxa"/>
              <w:right w:w="65" w:type="dxa"/>
            </w:tcMar>
          </w:tcPr>
          <w:p>
            <w:pPr>
              <w:spacing w:after="20" w:before="20" w:line="245" w:lineRule="auto"/>
            </w:pPr>
            <w:r>
              <w:rPr>
                <w:sz w:val="19"/>
              </w:rPr>
              <w:t>Unrealized gain or loss</w:t>
            </w:r>
          </w:p>
        </w:tc>
        <w:tc>
          <w:tcPr>
            <w:tcW w:type="dxa" w:w="5184"/>
            <w:vAlign w:val="center"/>
            <w:shd w:fill="FFFFFF"/>
            <w:tcMar>
              <w:top w:w="65" w:type="dxa"/>
              <w:left w:w="65" w:type="dxa"/>
              <w:bottom w:w="65" w:type="dxa"/>
              <w:right w:w="65" w:type="dxa"/>
            </w:tcMar>
          </w:tcPr>
          <w:p>
            <w:pPr>
              <w:spacing w:after="20" w:before="20" w:line="245" w:lineRule="auto"/>
            </w:pPr>
            <w:r>
              <w:rPr>
                <w:sz w:val="19"/>
              </w:rPr>
              <w:t>Market value minus remaining basis</w:t>
            </w:r>
          </w:p>
        </w:tc>
        <w:tc>
          <w:tcPr>
            <w:tcW w:type="dxa" w:w="2218"/>
            <w:vAlign w:val="center"/>
            <w:shd w:fill="FFFFFF"/>
            <w:tcMar>
              <w:top w:w="65" w:type="dxa"/>
              <w:left w:w="65" w:type="dxa"/>
              <w:bottom w:w="65" w:type="dxa"/>
              <w:right w:w="65" w:type="dxa"/>
            </w:tcMar>
          </w:tcPr>
          <w:p>
            <w:pPr>
              <w:spacing w:after="20" w:before="20" w:line="245" w:lineRule="auto"/>
              <w:jc w:val="center"/>
            </w:pPr>
            <w:r>
              <w:rPr>
                <w:sz w:val="19"/>
              </w:rPr>
              <w:t>Current or as of end</w:t>
            </w:r>
          </w:p>
        </w:tc>
      </w:tr>
      <w:tr>
        <w:trPr>
          <w:cantSplit/>
        </w:trPr>
        <w:tc>
          <w:tcPr>
            <w:tcW w:type="dxa" w:w="2592"/>
            <w:vAlign w:val="center"/>
            <w:shd w:fill="F0F4F7"/>
            <w:tcMar>
              <w:top w:w="65" w:type="dxa"/>
              <w:left w:w="65" w:type="dxa"/>
              <w:bottom w:w="65" w:type="dxa"/>
              <w:right w:w="65" w:type="dxa"/>
            </w:tcMar>
          </w:tcPr>
          <w:p>
            <w:pPr>
              <w:spacing w:after="20" w:before="20" w:line="245" w:lineRule="auto"/>
            </w:pPr>
            <w:r>
              <w:rPr>
                <w:sz w:val="19"/>
              </w:rPr>
              <w:t>Realized gain or loss</w:t>
            </w:r>
          </w:p>
        </w:tc>
        <w:tc>
          <w:tcPr>
            <w:tcW w:type="dxa" w:w="5184"/>
            <w:vAlign w:val="center"/>
            <w:shd w:fill="F0F4F7"/>
            <w:tcMar>
              <w:top w:w="65" w:type="dxa"/>
              <w:left w:w="65" w:type="dxa"/>
              <w:bottom w:w="65" w:type="dxa"/>
              <w:right w:w="65" w:type="dxa"/>
            </w:tcMar>
          </w:tcPr>
          <w:p>
            <w:pPr>
              <w:spacing w:after="20" w:before="20" w:line="245" w:lineRule="auto"/>
            </w:pPr>
            <w:r>
              <w:rPr>
                <w:sz w:val="19"/>
              </w:rPr>
              <w:t>Net sale proceeds minus FIFO basis</w:t>
            </w:r>
          </w:p>
        </w:tc>
        <w:tc>
          <w:tcPr>
            <w:tcW w:type="dxa" w:w="2218"/>
            <w:vAlign w:val="center"/>
            <w:shd w:fill="F0F4F7"/>
            <w:tcMar>
              <w:top w:w="65" w:type="dxa"/>
              <w:left w:w="65" w:type="dxa"/>
              <w:bottom w:w="65" w:type="dxa"/>
              <w:right w:w="65" w:type="dxa"/>
            </w:tcMar>
          </w:tcPr>
          <w:p>
            <w:pPr>
              <w:spacing w:after="20" w:before="20" w:line="245" w:lineRule="auto"/>
              <w:jc w:val="center"/>
            </w:pPr>
            <w:r>
              <w:rPr>
                <w:sz w:val="19"/>
              </w:rPr>
              <w:t>Selected period</w:t>
            </w:r>
          </w:p>
        </w:tc>
      </w:tr>
      <w:tr>
        <w:trPr>
          <w:cantSplit/>
        </w:trPr>
        <w:tc>
          <w:tcPr>
            <w:tcW w:type="dxa" w:w="2592"/>
            <w:vAlign w:val="center"/>
            <w:shd w:fill="FFFFFF"/>
            <w:tcMar>
              <w:top w:w="65" w:type="dxa"/>
              <w:left w:w="65" w:type="dxa"/>
              <w:bottom w:w="65" w:type="dxa"/>
              <w:right w:w="65" w:type="dxa"/>
            </w:tcMar>
          </w:tcPr>
          <w:p>
            <w:pPr>
              <w:spacing w:after="20" w:before="20" w:line="245" w:lineRule="auto"/>
            </w:pPr>
            <w:r>
              <w:rPr>
                <w:sz w:val="19"/>
              </w:rPr>
              <w:t>Dividend income</w:t>
            </w:r>
          </w:p>
        </w:tc>
        <w:tc>
          <w:tcPr>
            <w:tcW w:type="dxa" w:w="5184"/>
            <w:vAlign w:val="center"/>
            <w:shd w:fill="FFFFFF"/>
            <w:tcMar>
              <w:top w:w="65" w:type="dxa"/>
              <w:left w:w="65" w:type="dxa"/>
              <w:bottom w:w="65" w:type="dxa"/>
              <w:right w:w="65" w:type="dxa"/>
            </w:tcMar>
          </w:tcPr>
          <w:p>
            <w:pPr>
              <w:spacing w:after="20" w:before="20" w:line="245" w:lineRule="auto"/>
            </w:pPr>
            <w:r>
              <w:rPr>
                <w:sz w:val="19"/>
              </w:rPr>
              <w:t>Dividend transaction amounts</w:t>
            </w:r>
          </w:p>
        </w:tc>
        <w:tc>
          <w:tcPr>
            <w:tcW w:type="dxa" w:w="2218"/>
            <w:vAlign w:val="center"/>
            <w:shd w:fill="FFFFFF"/>
            <w:tcMar>
              <w:top w:w="65" w:type="dxa"/>
              <w:left w:w="65" w:type="dxa"/>
              <w:bottom w:w="65" w:type="dxa"/>
              <w:right w:w="65" w:type="dxa"/>
            </w:tcMar>
          </w:tcPr>
          <w:p>
            <w:pPr>
              <w:spacing w:after="20" w:before="20" w:line="245" w:lineRule="auto"/>
              <w:jc w:val="center"/>
            </w:pPr>
            <w:r>
              <w:rPr>
                <w:sz w:val="19"/>
              </w:rPr>
              <w:t>Selected period</w:t>
            </w:r>
          </w:p>
        </w:tc>
      </w:tr>
      <w:tr>
        <w:trPr>
          <w:cantSplit/>
        </w:trPr>
        <w:tc>
          <w:tcPr>
            <w:tcW w:type="dxa" w:w="2592"/>
            <w:vAlign w:val="center"/>
            <w:shd w:fill="F0F4F7"/>
            <w:tcMar>
              <w:top w:w="65" w:type="dxa"/>
              <w:left w:w="65" w:type="dxa"/>
              <w:bottom w:w="65" w:type="dxa"/>
              <w:right w:w="65" w:type="dxa"/>
            </w:tcMar>
          </w:tcPr>
          <w:p>
            <w:pPr>
              <w:spacing w:after="20" w:before="20" w:line="245" w:lineRule="auto"/>
            </w:pPr>
            <w:r>
              <w:rPr>
                <w:sz w:val="19"/>
              </w:rPr>
              <w:t>Net external contributions</w:t>
            </w:r>
          </w:p>
        </w:tc>
        <w:tc>
          <w:tcPr>
            <w:tcW w:type="dxa" w:w="5184"/>
            <w:vAlign w:val="center"/>
            <w:shd w:fill="F0F4F7"/>
            <w:tcMar>
              <w:top w:w="65" w:type="dxa"/>
              <w:left w:w="65" w:type="dxa"/>
              <w:bottom w:w="65" w:type="dxa"/>
              <w:right w:w="65" w:type="dxa"/>
            </w:tcMar>
          </w:tcPr>
          <w:p>
            <w:pPr>
              <w:spacing w:after="20" w:before="20" w:line="245" w:lineRule="auto"/>
            </w:pPr>
            <w:r>
              <w:rPr>
                <w:sz w:val="19"/>
              </w:rPr>
              <w:t>Deposits plus negative withdrawals</w:t>
            </w:r>
          </w:p>
        </w:tc>
        <w:tc>
          <w:tcPr>
            <w:tcW w:type="dxa" w:w="2218"/>
            <w:vAlign w:val="center"/>
            <w:shd w:fill="F0F4F7"/>
            <w:tcMar>
              <w:top w:w="65" w:type="dxa"/>
              <w:left w:w="65" w:type="dxa"/>
              <w:bottom w:w="65" w:type="dxa"/>
              <w:right w:w="65" w:type="dxa"/>
            </w:tcMar>
          </w:tcPr>
          <w:p>
            <w:pPr>
              <w:spacing w:after="20" w:before="20" w:line="245" w:lineRule="auto"/>
              <w:jc w:val="center"/>
            </w:pPr>
            <w:r>
              <w:rPr>
                <w:sz w:val="19"/>
              </w:rPr>
              <w:t>Selected period</w:t>
            </w:r>
          </w:p>
        </w:tc>
      </w:tr>
    </w:tbl>
    <w:p>
      <w:pPr>
        <w:spacing w:before="160"/>
      </w:pPr>
      <w:r>
        <w:t>Unrealized percentage equals unrealized gain or loss divided by remaining basis. Zero basis displays N/A. Missing prices, unknown basis or incomplete history can also make metrics unavailable. For historical end dates, quote-dependent metrics are unavailable instead of using a current quote as a historical price; demo prices remain labeled synthetic.</w:t>
      </w:r>
    </w:p>
    <w:p>
      <w:pPr>
        <w:pStyle w:val="Heading2"/>
      </w:pPr>
      <w:r>
        <w:t>Configure the chart panels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5386"/>
      </w:tblGrid>
      <w:tr>
        <w:trPr>
          <w:cantSplit/>
          <w:tblHeader/>
        </w:trPr>
        <w:tc>
          <w:tcPr>
            <w:tcW w:type="dxa" w:w="4608"/>
            <w:vAlign w:val="center"/>
            <w:shd w:fill="183A50"/>
            <w:tcMar>
              <w:top w:w="65" w:type="dxa"/>
              <w:left w:w="65" w:type="dxa"/>
              <w:bottom w:w="65" w:type="dxa"/>
              <w:right w:w="65" w:type="dxa"/>
            </w:tcMar>
          </w:tcPr>
          <w:p>
            <w:pPr>
              <w:spacing w:after="20" w:before="20" w:line="245" w:lineRule="auto"/>
            </w:pPr>
            <w:r>
              <w:rPr>
                <w:b/>
                <w:color w:val="FFFFFF"/>
                <w:sz w:val="19"/>
              </w:rPr>
              <w:t>Dataset</w:t>
            </w:r>
          </w:p>
        </w:tc>
        <w:tc>
          <w:tcPr>
            <w:tcW w:type="dxa" w:w="5386"/>
            <w:vAlign w:val="center"/>
            <w:shd w:fill="183A50"/>
            <w:tcMar>
              <w:top w:w="65" w:type="dxa"/>
              <w:left w:w="65" w:type="dxa"/>
              <w:bottom w:w="65" w:type="dxa"/>
              <w:right w:w="65" w:type="dxa"/>
            </w:tcMar>
          </w:tcPr>
          <w:p>
            <w:pPr>
              <w:spacing w:after="20" w:before="20" w:line="245" w:lineRule="auto"/>
            </w:pPr>
            <w:r>
              <w:rPr>
                <w:b/>
                <w:color w:val="FFFFFF"/>
                <w:sz w:val="19"/>
              </w:rPr>
              <w:t>Chart options</w:t>
            </w:r>
          </w:p>
        </w:tc>
      </w:tr>
      <w:tr>
        <w:trPr>
          <w:cantSplit/>
        </w:trPr>
        <w:tc>
          <w:tcPr>
            <w:tcW w:type="dxa" w:w="4608"/>
            <w:vAlign w:val="center"/>
            <w:shd w:fill="FFFFFF"/>
            <w:tcMar>
              <w:top w:w="65" w:type="dxa"/>
              <w:left w:w="65" w:type="dxa"/>
              <w:bottom w:w="65" w:type="dxa"/>
              <w:right w:w="65" w:type="dxa"/>
            </w:tcMar>
          </w:tcPr>
          <w:p>
            <w:pPr>
              <w:spacing w:after="20" w:before="20" w:line="245" w:lineRule="auto"/>
            </w:pPr>
            <w:r>
              <w:rPr>
                <w:sz w:val="19"/>
              </w:rPr>
              <w:t>Holdings allocation</w:t>
            </w:r>
          </w:p>
        </w:tc>
        <w:tc>
          <w:tcPr>
            <w:tcW w:type="dxa" w:w="5386"/>
            <w:vAlign w:val="center"/>
            <w:shd w:fill="FFFFFF"/>
            <w:tcMar>
              <w:top w:w="65" w:type="dxa"/>
              <w:left w:w="65" w:type="dxa"/>
              <w:bottom w:w="65" w:type="dxa"/>
              <w:right w:w="65" w:type="dxa"/>
            </w:tcMar>
          </w:tcPr>
          <w:p>
            <w:pPr>
              <w:spacing w:after="20" w:before="20" w:line="245" w:lineRule="auto"/>
            </w:pPr>
            <w:r>
              <w:rPr>
                <w:sz w:val="19"/>
              </w:rPr>
              <w:t>Donut, pie or bar; optional cash; top holdings with Other</w:t>
            </w:r>
          </w:p>
        </w:tc>
      </w:tr>
      <w:tr>
        <w:trPr>
          <w:cantSplit/>
        </w:trPr>
        <w:tc>
          <w:tcPr>
            <w:tcW w:type="dxa" w:w="4608"/>
            <w:vAlign w:val="center"/>
            <w:shd w:fill="F0F4F7"/>
            <w:tcMar>
              <w:top w:w="65" w:type="dxa"/>
              <w:left w:w="65" w:type="dxa"/>
              <w:bottom w:w="65" w:type="dxa"/>
              <w:right w:w="65" w:type="dxa"/>
            </w:tcMar>
          </w:tcPr>
          <w:p>
            <w:pPr>
              <w:spacing w:after="20" w:before="20" w:line="245" w:lineRule="auto"/>
            </w:pPr>
            <w:r>
              <w:rPr>
                <w:sz w:val="19"/>
              </w:rPr>
              <w:t>Unrealized gain or loss by symbol</w:t>
            </w:r>
          </w:p>
        </w:tc>
        <w:tc>
          <w:tcPr>
            <w:tcW w:type="dxa" w:w="5386"/>
            <w:vAlign w:val="center"/>
            <w:shd w:fill="F0F4F7"/>
            <w:tcMar>
              <w:top w:w="65" w:type="dxa"/>
              <w:left w:w="65" w:type="dxa"/>
              <w:bottom w:w="65" w:type="dxa"/>
              <w:right w:w="65" w:type="dxa"/>
            </w:tcMar>
          </w:tcPr>
          <w:p>
            <w:pPr>
              <w:spacing w:after="20" w:before="20" w:line="245" w:lineRule="auto"/>
            </w:pPr>
            <w:r>
              <w:rPr>
                <w:sz w:val="19"/>
              </w:rPr>
              <w:t>Bar, with Gain and Loss labels and colors</w:t>
            </w:r>
          </w:p>
        </w:tc>
      </w:tr>
      <w:tr>
        <w:trPr>
          <w:cantSplit/>
        </w:trPr>
        <w:tc>
          <w:tcPr>
            <w:tcW w:type="dxa" w:w="4608"/>
            <w:vAlign w:val="center"/>
            <w:shd w:fill="FFFFFF"/>
            <w:tcMar>
              <w:top w:w="65" w:type="dxa"/>
              <w:left w:w="65" w:type="dxa"/>
              <w:bottom w:w="65" w:type="dxa"/>
              <w:right w:w="65" w:type="dxa"/>
            </w:tcMar>
          </w:tcPr>
          <w:p>
            <w:pPr>
              <w:spacing w:after="20" w:before="20" w:line="245" w:lineRule="auto"/>
            </w:pPr>
            <w:r>
              <w:rPr>
                <w:sz w:val="19"/>
              </w:rPr>
              <w:t>Monthly dividends</w:t>
            </w:r>
          </w:p>
        </w:tc>
        <w:tc>
          <w:tcPr>
            <w:tcW w:type="dxa" w:w="5386"/>
            <w:vAlign w:val="center"/>
            <w:shd w:fill="FFFFFF"/>
            <w:tcMar>
              <w:top w:w="65" w:type="dxa"/>
              <w:left w:w="65" w:type="dxa"/>
              <w:bottom w:w="65" w:type="dxa"/>
              <w:right w:w="65" w:type="dxa"/>
            </w:tcMar>
          </w:tcPr>
          <w:p>
            <w:pPr>
              <w:spacing w:after="20" w:before="20" w:line="245" w:lineRule="auto"/>
            </w:pPr>
            <w:r>
              <w:rPr>
                <w:sz w:val="19"/>
              </w:rPr>
              <w:t>Bar or line</w:t>
            </w:r>
          </w:p>
        </w:tc>
      </w:tr>
      <w:tr>
        <w:trPr>
          <w:cantSplit/>
        </w:trPr>
        <w:tc>
          <w:tcPr>
            <w:tcW w:type="dxa" w:w="4608"/>
            <w:vAlign w:val="center"/>
            <w:shd w:fill="F0F4F7"/>
            <w:tcMar>
              <w:top w:w="65" w:type="dxa"/>
              <w:left w:w="65" w:type="dxa"/>
              <w:bottom w:w="65" w:type="dxa"/>
              <w:right w:w="65" w:type="dxa"/>
            </w:tcMar>
          </w:tcPr>
          <w:p>
            <w:pPr>
              <w:spacing w:after="20" w:before="20" w:line="245" w:lineRule="auto"/>
            </w:pPr>
            <w:r>
              <w:rPr>
                <w:sz w:val="19"/>
              </w:rPr>
              <w:t>Monthly deposits and withdrawals</w:t>
            </w:r>
          </w:p>
        </w:tc>
        <w:tc>
          <w:tcPr>
            <w:tcW w:type="dxa" w:w="5386"/>
            <w:vAlign w:val="center"/>
            <w:shd w:fill="F0F4F7"/>
            <w:tcMar>
              <w:top w:w="65" w:type="dxa"/>
              <w:left w:w="65" w:type="dxa"/>
              <w:bottom w:w="65" w:type="dxa"/>
              <w:right w:w="65" w:type="dxa"/>
            </w:tcMar>
          </w:tcPr>
          <w:p>
            <w:pPr>
              <w:spacing w:after="20" w:before="20" w:line="245" w:lineRule="auto"/>
            </w:pPr>
            <w:r>
              <w:rPr>
                <w:sz w:val="19"/>
              </w:rPr>
              <w:t>Grouped bar</w:t>
            </w:r>
          </w:p>
        </w:tc>
      </w:tr>
      <w:tr>
        <w:trPr>
          <w:cantSplit/>
        </w:trPr>
        <w:tc>
          <w:tcPr>
            <w:tcW w:type="dxa" w:w="4608"/>
            <w:vAlign w:val="center"/>
            <w:shd w:fill="FFFFFF"/>
            <w:tcMar>
              <w:top w:w="65" w:type="dxa"/>
              <w:left w:w="65" w:type="dxa"/>
              <w:bottom w:w="65" w:type="dxa"/>
              <w:right w:w="65" w:type="dxa"/>
            </w:tcMar>
          </w:tcPr>
          <w:p>
            <w:pPr>
              <w:spacing w:after="20" w:before="20" w:line="245" w:lineRule="auto"/>
            </w:pPr>
            <w:r>
              <w:rPr>
                <w:sz w:val="19"/>
              </w:rPr>
              <w:t>Portfolio value over time</w:t>
            </w:r>
          </w:p>
        </w:tc>
        <w:tc>
          <w:tcPr>
            <w:tcW w:type="dxa" w:w="5386"/>
            <w:vAlign w:val="center"/>
            <w:shd w:fill="FFFFFF"/>
            <w:tcMar>
              <w:top w:w="65" w:type="dxa"/>
              <w:left w:w="65" w:type="dxa"/>
              <w:bottom w:w="65" w:type="dxa"/>
              <w:right w:w="65" w:type="dxa"/>
            </w:tcMar>
          </w:tcPr>
          <w:p>
            <w:pPr>
              <w:spacing w:after="20" w:before="20" w:line="245" w:lineRule="auto"/>
            </w:pPr>
            <w:r>
              <w:rPr>
                <w:sz w:val="19"/>
              </w:rPr>
              <w:t>N/A until historical prices and required history exist</w:t>
            </w:r>
          </w:p>
        </w:tc>
      </w:tr>
    </w:tbl>
    <w:p>
      <w:pPr>
        <w:spacing w:before="160"/>
      </w:pPr>
      <w:r>
        <w:t>Plotly charts support hover details, legends, responsive sizing and image export through the chart toolbar. Allocation can show only known-priced holdings when data is incomplete; a warning identifies the partial view.</w:t>
      </w:r>
    </w:p>
    <w:p>
      <w:pPr>
        <w:pStyle w:val="Heading2"/>
      </w:pPr>
      <w:r>
        <w:t>Review holdings and drill down</w:t>
      </w:r>
    </w:p>
    <w:p>
      <w:r>
        <w:t>The holdings table shows account, symbol, quantity, remaining average cost, price, market value, basis, unrealized dollars and percentage, portfolio weight, quote timestamp, price source and delay status. Select a holding and choose Open holding transactions in Details, then open the Details tab.</w:t>
      </w:r>
    </w:p>
    <w:p>
      <w:r>
        <w:t>Portfolio value change and cash-flow-adjusted investment return are N/A. Simple balance changes are not presented as investment returns.</w:t>
      </w:r>
    </w:p>
    <w:p>
      <w:pPr>
        <w:pStyle w:val="Heading1"/>
        <w:pageBreakBefore/>
      </w:pPr>
      <w:r>
        <w:t>6 Transaction details and price management</w:t>
      </w:r>
    </w:p>
    <w:p>
      <w:pPr>
        <w:pStyle w:val="Heading2"/>
      </w:pPr>
      <w:r>
        <w:t>Inspect and export transactions</w:t>
      </w:r>
    </w:p>
    <w:p>
      <w:r>
        <w:t>Details displays the normalized transaction fields: ID, date, account, source, symbol, transaction type, quantity, price, fees, signed cash amount and currency. The sidebar account, date and symbol filters apply to this view.</w:t>
      </w:r>
    </w:p>
    <w:p>
      <w:pPr>
        <w:ind w:left="259" w:hanging="259"/>
      </w:pPr>
      <w:r>
        <w:t>1.  Narrow the list using Transaction types, Sources and Holding history. Search all transaction fields with the free-text search control.</w:t>
      </w:r>
    </w:p>
    <w:p>
      <w:pPr>
        <w:ind w:left="259" w:hanging="259"/>
      </w:pPr>
      <w:r>
        <w:t>2.  Sort by selecting a table column heading. Review the filtered row count and signed cash-flow total.</w:t>
      </w:r>
    </w:p>
    <w:p>
      <w:pPr>
        <w:ind w:left="259" w:hanging="259"/>
      </w:pPr>
      <w:r>
        <w:t>3.  Select a transaction in Transaction detail. The panel displays the complete record; a sale also shows FIFO realized gain or loss and the consumed purchase lots.</w:t>
      </w:r>
    </w:p>
    <w:p>
      <w:pPr>
        <w:ind w:left="259" w:hanging="259"/>
      </w:pPr>
      <w:r>
        <w:t>4.  For a symbol transaction, review the complete available history for that symbol in the same account, including records outside the reporting period.</w:t>
      </w:r>
    </w:p>
    <w:p>
      <w:pPr>
        <w:ind w:left="259" w:hanging="259"/>
      </w:pPr>
      <w:r>
        <w:t>5.  Choose Download filtered CSV to export the matching transactions. Review Data quality &amp; reconciliation for calculation or broker-normalization warnings.</w:t>
      </w:r>
    </w:p>
    <w:p>
      <w:r>
        <w:t>The sum of signed transaction amounts represents cash movement, not profit. For example, a deposit increases cash but does not create investment gain. Dividends are reported separately from trading gains.</w:t>
      </w:r>
    </w:p>
    <w:p>
      <w:pPr>
        <w:pStyle w:val="Heading2"/>
      </w:pPr>
      <w:r>
        <w:t>Choose and maintain prices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43"/>
        <w:gridCol w:w="5688"/>
        <w:gridCol w:w="2462"/>
      </w:tblGrid>
      <w:tr>
        <w:trPr>
          <w:cantSplit/>
          <w:tblHeader/>
        </w:trPr>
        <w:tc>
          <w:tcPr>
            <w:tcW w:type="dxa" w:w="1843"/>
            <w:vAlign w:val="center"/>
            <w:shd w:fill="183A50"/>
            <w:tcMar>
              <w:top w:w="65" w:type="dxa"/>
              <w:left w:w="65" w:type="dxa"/>
              <w:bottom w:w="65" w:type="dxa"/>
              <w:right w:w="65" w:type="dxa"/>
            </w:tcMar>
          </w:tcPr>
          <w:p>
            <w:pPr>
              <w:spacing w:after="20" w:before="20" w:line="245" w:lineRule="auto"/>
            </w:pPr>
            <w:r>
              <w:rPr>
                <w:b/>
                <w:color w:val="FFFFFF"/>
                <w:sz w:val="19"/>
              </w:rPr>
              <w:t>Price source</w:t>
            </w:r>
          </w:p>
        </w:tc>
        <w:tc>
          <w:tcPr>
            <w:tcW w:type="dxa" w:w="5688"/>
            <w:vAlign w:val="center"/>
            <w:shd w:fill="183A50"/>
            <w:tcMar>
              <w:top w:w="65" w:type="dxa"/>
              <w:left w:w="65" w:type="dxa"/>
              <w:bottom w:w="65" w:type="dxa"/>
              <w:right w:w="65" w:type="dxa"/>
            </w:tcMar>
          </w:tcPr>
          <w:p>
            <w:pPr>
              <w:spacing w:after="20" w:before="20" w:line="245" w:lineRule="auto"/>
            </w:pPr>
            <w:r>
              <w:rPr>
                <w:b/>
                <w:color w:val="FFFFFF"/>
                <w:sz w:val="19"/>
              </w:rPr>
              <w:t>Behavior</w:t>
            </w:r>
          </w:p>
        </w:tc>
        <w:tc>
          <w:tcPr>
            <w:tcW w:type="dxa" w:w="2462"/>
            <w:vAlign w:val="center"/>
            <w:shd w:fill="183A50"/>
            <w:tcMar>
              <w:top w:w="65" w:type="dxa"/>
              <w:left w:w="65" w:type="dxa"/>
              <w:bottom w:w="65" w:type="dxa"/>
              <w:right w:w="65" w:type="dxa"/>
            </w:tcMar>
          </w:tcPr>
          <w:p>
            <w:pPr>
              <w:spacing w:after="20" w:before="20" w:line="245" w:lineRule="auto"/>
              <w:jc w:val="center"/>
            </w:pPr>
            <w:r>
              <w:rPr>
                <w:b/>
                <w:color w:val="FFFFFF"/>
                <w:sz w:val="19"/>
              </w:rPr>
              <w:t>Availability</w:t>
            </w:r>
          </w:p>
        </w:tc>
      </w:tr>
      <w:tr>
        <w:trPr>
          <w:cantSplit/>
        </w:trPr>
        <w:tc>
          <w:tcPr>
            <w:tcW w:type="dxa" w:w="1843"/>
            <w:vAlign w:val="center"/>
            <w:shd w:fill="FFFFFF"/>
            <w:tcMar>
              <w:top w:w="65" w:type="dxa"/>
              <w:left w:w="65" w:type="dxa"/>
              <w:bottom w:w="65" w:type="dxa"/>
              <w:right w:w="65" w:type="dxa"/>
            </w:tcMar>
          </w:tcPr>
          <w:p>
            <w:pPr>
              <w:spacing w:after="20" w:before="20" w:line="245" w:lineRule="auto"/>
            </w:pPr>
            <w:r>
              <w:rPr>
                <w:sz w:val="19"/>
              </w:rPr>
              <w:t>Manual</w:t>
            </w:r>
          </w:p>
        </w:tc>
        <w:tc>
          <w:tcPr>
            <w:tcW w:type="dxa" w:w="5688"/>
            <w:vAlign w:val="center"/>
            <w:shd w:fill="FFFFFF"/>
            <w:tcMar>
              <w:top w:w="65" w:type="dxa"/>
              <w:left w:w="65" w:type="dxa"/>
              <w:bottom w:w="65" w:type="dxa"/>
              <w:right w:w="65" w:type="dxa"/>
            </w:tcMar>
          </w:tcPr>
          <w:p>
            <w:pPr>
              <w:spacing w:after="20" w:before="20" w:line="245" w:lineRule="auto"/>
            </w:pPr>
            <w:r>
              <w:rPr>
                <w:sz w:val="19"/>
              </w:rPr>
              <w:t>Entry timestamp; identified as Manual; no automatic expiration</w:t>
            </w:r>
          </w:p>
        </w:tc>
        <w:tc>
          <w:tcPr>
            <w:tcW w:type="dxa" w:w="2462"/>
            <w:vAlign w:val="center"/>
            <w:shd w:fill="FFFFFF"/>
            <w:tcMar>
              <w:top w:w="65" w:type="dxa"/>
              <w:left w:w="65" w:type="dxa"/>
              <w:bottom w:w="65" w:type="dxa"/>
              <w:right w:w="65" w:type="dxa"/>
            </w:tcMar>
          </w:tcPr>
          <w:p>
            <w:pPr>
              <w:spacing w:after="20" w:before="20" w:line="245" w:lineRule="auto"/>
              <w:jc w:val="center"/>
            </w:pPr>
            <w:r>
              <w:rPr>
                <w:sz w:val="19"/>
              </w:rPr>
              <w:t>Offline and CSV use</w:t>
            </w:r>
          </w:p>
        </w:tc>
      </w:tr>
      <w:tr>
        <w:trPr>
          <w:cantSplit/>
        </w:trPr>
        <w:tc>
          <w:tcPr>
            <w:tcW w:type="dxa" w:w="1843"/>
            <w:vAlign w:val="center"/>
            <w:shd w:fill="F0F4F7"/>
            <w:tcMar>
              <w:top w:w="65" w:type="dxa"/>
              <w:left w:w="65" w:type="dxa"/>
              <w:bottom w:w="65" w:type="dxa"/>
              <w:right w:w="65" w:type="dxa"/>
            </w:tcMar>
          </w:tcPr>
          <w:p>
            <w:pPr>
              <w:spacing w:after="20" w:before="20" w:line="245" w:lineRule="auto"/>
            </w:pPr>
            <w:r>
              <w:rPr>
                <w:sz w:val="19"/>
              </w:rPr>
              <w:t>Synthetic demo</w:t>
            </w:r>
          </w:p>
        </w:tc>
        <w:tc>
          <w:tcPr>
            <w:tcW w:type="dxa" w:w="5688"/>
            <w:vAlign w:val="center"/>
            <w:shd w:fill="F0F4F7"/>
            <w:tcMar>
              <w:top w:w="65" w:type="dxa"/>
              <w:left w:w="65" w:type="dxa"/>
              <w:bottom w:w="65" w:type="dxa"/>
              <w:right w:w="65" w:type="dxa"/>
            </w:tcMar>
          </w:tcPr>
          <w:p>
            <w:pPr>
              <w:spacing w:after="20" w:before="20" w:line="245" w:lineRule="auto"/>
            </w:pPr>
            <w:r>
              <w:rPr>
                <w:sz w:val="19"/>
              </w:rPr>
              <w:t>Deterministic AAPL $215 and MSFT $450 quotes dated April 15, 2025</w:t>
            </w:r>
          </w:p>
        </w:tc>
        <w:tc>
          <w:tcPr>
            <w:tcW w:type="dxa" w:w="2462"/>
            <w:vAlign w:val="center"/>
            <w:shd w:fill="F0F4F7"/>
            <w:tcMar>
              <w:top w:w="65" w:type="dxa"/>
              <w:left w:w="65" w:type="dxa"/>
              <w:bottom w:w="65" w:type="dxa"/>
              <w:right w:w="65" w:type="dxa"/>
            </w:tcMar>
          </w:tcPr>
          <w:p>
            <w:pPr>
              <w:spacing w:after="20" w:before="20" w:line="245" w:lineRule="auto"/>
              <w:jc w:val="center"/>
            </w:pPr>
            <w:r>
              <w:rPr>
                <w:sz w:val="19"/>
              </w:rPr>
              <w:t>Demo mode</w:t>
            </w:r>
          </w:p>
        </w:tc>
      </w:tr>
      <w:tr>
        <w:trPr>
          <w:cantSplit/>
        </w:trPr>
        <w:tc>
          <w:tcPr>
            <w:tcW w:type="dxa" w:w="1843"/>
            <w:vAlign w:val="center"/>
            <w:shd w:fill="FFFFFF"/>
            <w:tcMar>
              <w:top w:w="65" w:type="dxa"/>
              <w:left w:w="65" w:type="dxa"/>
              <w:bottom w:w="65" w:type="dxa"/>
              <w:right w:w="65" w:type="dxa"/>
            </w:tcMar>
          </w:tcPr>
          <w:p>
            <w:pPr>
              <w:spacing w:after="20" w:before="20" w:line="245" w:lineRule="auto"/>
            </w:pPr>
            <w:r>
              <w:rPr>
                <w:sz w:val="19"/>
              </w:rPr>
              <w:t>E*TRADE</w:t>
            </w:r>
          </w:p>
        </w:tc>
        <w:tc>
          <w:tcPr>
            <w:tcW w:type="dxa" w:w="5688"/>
            <w:vAlign w:val="center"/>
            <w:shd w:fill="FFFFFF"/>
            <w:tcMar>
              <w:top w:w="65" w:type="dxa"/>
              <w:left w:w="65" w:type="dxa"/>
              <w:bottom w:w="65" w:type="dxa"/>
              <w:right w:w="65" w:type="dxa"/>
            </w:tcMar>
          </w:tcPr>
          <w:p>
            <w:pPr>
              <w:spacing w:after="20" w:before="20" w:line="245" w:lineRule="auto"/>
            </w:pPr>
            <w:r>
              <w:rPr>
                <w:sz w:val="19"/>
              </w:rPr>
              <w:t>Provider timestamp and delay status; session quote lifetime of 300 seconds from fetch</w:t>
            </w:r>
          </w:p>
        </w:tc>
        <w:tc>
          <w:tcPr>
            <w:tcW w:type="dxa" w:w="2462"/>
            <w:vAlign w:val="center"/>
            <w:shd w:fill="FFFFFF"/>
            <w:tcMar>
              <w:top w:w="65" w:type="dxa"/>
              <w:left w:w="65" w:type="dxa"/>
              <w:bottom w:w="65" w:type="dxa"/>
              <w:right w:w="65" w:type="dxa"/>
            </w:tcMar>
          </w:tcPr>
          <w:p>
            <w:pPr>
              <w:spacing w:after="20" w:before="20" w:line="245" w:lineRule="auto"/>
              <w:jc w:val="center"/>
            </w:pPr>
            <w:r>
              <w:rPr>
                <w:sz w:val="19"/>
              </w:rPr>
              <w:t>Authorized adapter; unverified</w:t>
            </w:r>
          </w:p>
        </w:tc>
      </w:tr>
    </w:tbl>
    <w:p>
      <w:pPr>
        <w:spacing w:before="160"/>
      </w:pPr>
      <w:r>
        <w:t>To enter offline prices, open Manual prices in Start / Data Sources, fill each symbol’s USD price and select Apply manual prices. A blank field removes an existing manual price; it does not remove a broker or synthetic quote. Missing quotes are never replaced with zero.</w:t>
      </w:r>
    </w:p>
    <w:p>
      <w:r>
        <w:t>Broker quote results expire from the usable session quote set after 300 seconds. Refresh explicitly. Manual and demo prices remain until replaced or cleared. No public alternative provider or shared market-price cache is configured.</w:t>
      </w:r>
    </w:p>
    <w:p>
      <w:pPr>
        <w:pStyle w:val="Heading2"/>
      </w:pPr>
      <w:r>
        <w:t>Historical pricing boundary</w:t>
      </w:r>
    </w:p>
    <w:p>
      <w:r>
        <w:t>A historical portfolio-value chart needs shares held on each date, daily historical prices, cash balances and consistent corporate-action treatment. Those inputs are not available in the current configuration. Current holdings are never applied backward through time.</w:t>
      </w:r>
    </w:p>
    <w:p>
      <w:pPr>
        <w:pStyle w:val="Heading1"/>
        <w:pageBreakBefore/>
      </w:pPr>
      <w:r>
        <w:t>7 Financial methodology and sample results</w:t>
      </w:r>
    </w:p>
    <w:p>
      <w:pPr>
        <w:pStyle w:val="Heading2"/>
      </w:pPr>
      <w:r>
        <w:t>FIFO and financial precision</w:t>
      </w:r>
    </w:p>
    <w:p>
      <w:r>
        <w:t>Financial calculations use Decimal arithmetic. For each account and symbol, a purchase creates a lot with quantity and acquisition cost, including purchase fees. FIFO sales consume the earliest available lots. A partial sale allocates lot cost proportionally and retains the remaining quantity and basis. Sale fees reduce net proceeds.</w:t>
      </w:r>
    </w:p>
    <w:p>
      <w:r>
        <w:t>Holdings equal opening shares plus buys minus sells. Cash equals opening cash plus the signed net cash movements. Purchase and sale fees are already included in those net amounts and are not deducted again. Average remaining cost is remaining basis divided by remaining shares.</w:t>
      </w:r>
    </w:p>
    <w:p>
      <w:pPr>
        <w:pStyle w:val="Heading2"/>
      </w:pPr>
      <w:r>
        <w:t>Worked AAPL example</w:t>
      </w:r>
    </w:p>
    <w:p>
      <w:r>
        <w:t>The supplied example buys 10 AAPL shares at $180 with a $1 purchase fee. The acquisition basis is $1,801, or $180.10 per share. It later sells 2 shares at $200 with a $1 sale fee.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88"/>
        <w:gridCol w:w="2506"/>
      </w:tblGrid>
      <w:tr>
        <w:trPr>
          <w:cantSplit/>
          <w:tblHeader/>
        </w:trPr>
        <w:tc>
          <w:tcPr>
            <w:tcW w:type="dxa" w:w="7488"/>
            <w:vAlign w:val="center"/>
            <w:shd w:fill="183A50"/>
            <w:tcMar>
              <w:top w:w="65" w:type="dxa"/>
              <w:left w:w="65" w:type="dxa"/>
              <w:bottom w:w="65" w:type="dxa"/>
              <w:right w:w="65" w:type="dxa"/>
            </w:tcMar>
          </w:tcPr>
          <w:p>
            <w:pPr>
              <w:spacing w:after="20" w:before="20" w:line="245" w:lineRule="auto"/>
            </w:pPr>
            <w:r>
              <w:rPr>
                <w:b/>
                <w:color w:val="FFFFFF"/>
                <w:sz w:val="19"/>
              </w:rPr>
              <w:t>Calculation</w:t>
            </w:r>
          </w:p>
        </w:tc>
        <w:tc>
          <w:tcPr>
            <w:tcW w:type="dxa" w:w="2506"/>
            <w:vAlign w:val="center"/>
            <w:shd w:fill="183A50"/>
            <w:tcMar>
              <w:top w:w="65" w:type="dxa"/>
              <w:left w:w="65" w:type="dxa"/>
              <w:bottom w:w="65" w:type="dxa"/>
              <w:right w:w="65" w:type="dxa"/>
            </w:tcMar>
          </w:tcPr>
          <w:p>
            <w:pPr>
              <w:spacing w:after="20" w:before="20" w:line="245" w:lineRule="auto"/>
              <w:jc w:val="center"/>
            </w:pPr>
            <w:r>
              <w:rPr>
                <w:b/>
                <w:color w:val="FFFFFF"/>
                <w:sz w:val="19"/>
              </w:rPr>
              <w:t>Result</w:t>
            </w:r>
          </w:p>
        </w:tc>
      </w:tr>
      <w:tr>
        <w:trPr>
          <w:cantSplit/>
        </w:trPr>
        <w:tc>
          <w:tcPr>
            <w:tcW w:type="dxa" w:w="7488"/>
            <w:vAlign w:val="center"/>
            <w:shd w:fill="FFFFFF"/>
            <w:tcMar>
              <w:top w:w="65" w:type="dxa"/>
              <w:left w:w="65" w:type="dxa"/>
              <w:bottom w:w="65" w:type="dxa"/>
              <w:right w:w="65" w:type="dxa"/>
            </w:tcMar>
          </w:tcPr>
          <w:p>
            <w:pPr>
              <w:spacing w:after="20" w:before="20" w:line="245" w:lineRule="auto"/>
            </w:pPr>
            <w:r>
              <w:rPr>
                <w:sz w:val="19"/>
              </w:rPr>
              <w:t>Net sale proceeds  2 × $200 - $1</w:t>
            </w:r>
          </w:p>
        </w:tc>
        <w:tc>
          <w:tcPr>
            <w:tcW w:type="dxa" w:w="2506"/>
            <w:vAlign w:val="center"/>
            <w:shd w:fill="FFFFFF"/>
            <w:tcMar>
              <w:top w:w="65" w:type="dxa"/>
              <w:left w:w="65" w:type="dxa"/>
              <w:bottom w:w="65" w:type="dxa"/>
              <w:right w:w="65" w:type="dxa"/>
            </w:tcMar>
          </w:tcPr>
          <w:p>
            <w:pPr>
              <w:spacing w:after="20" w:before="20" w:line="245" w:lineRule="auto"/>
              <w:jc w:val="center"/>
            </w:pPr>
            <w:r>
              <w:rPr>
                <w:sz w:val="19"/>
              </w:rPr>
              <w:t>$399.00</w:t>
            </w:r>
          </w:p>
        </w:tc>
      </w:tr>
      <w:tr>
        <w:trPr>
          <w:cantSplit/>
        </w:trPr>
        <w:tc>
          <w:tcPr>
            <w:tcW w:type="dxa" w:w="7488"/>
            <w:vAlign w:val="center"/>
            <w:shd w:fill="F0F4F7"/>
            <w:tcMar>
              <w:top w:w="65" w:type="dxa"/>
              <w:left w:w="65" w:type="dxa"/>
              <w:bottom w:w="65" w:type="dxa"/>
              <w:right w:w="65" w:type="dxa"/>
            </w:tcMar>
          </w:tcPr>
          <w:p>
            <w:pPr>
              <w:spacing w:after="20" w:before="20" w:line="245" w:lineRule="auto"/>
            </w:pPr>
            <w:r>
              <w:rPr>
                <w:sz w:val="19"/>
              </w:rPr>
              <w:t>FIFO basis consumed  2 × $180.10</w:t>
            </w:r>
          </w:p>
        </w:tc>
        <w:tc>
          <w:tcPr>
            <w:tcW w:type="dxa" w:w="2506"/>
            <w:vAlign w:val="center"/>
            <w:shd w:fill="F0F4F7"/>
            <w:tcMar>
              <w:top w:w="65" w:type="dxa"/>
              <w:left w:w="65" w:type="dxa"/>
              <w:bottom w:w="65" w:type="dxa"/>
              <w:right w:w="65" w:type="dxa"/>
            </w:tcMar>
          </w:tcPr>
          <w:p>
            <w:pPr>
              <w:spacing w:after="20" w:before="20" w:line="245" w:lineRule="auto"/>
              <w:jc w:val="center"/>
            </w:pPr>
            <w:r>
              <w:rPr>
                <w:sz w:val="19"/>
              </w:rPr>
              <w:t>$360.20</w:t>
            </w:r>
          </w:p>
        </w:tc>
      </w:tr>
      <w:tr>
        <w:trPr>
          <w:cantSplit/>
        </w:trPr>
        <w:tc>
          <w:tcPr>
            <w:tcW w:type="dxa" w:w="7488"/>
            <w:vAlign w:val="center"/>
            <w:shd w:fill="FFFFFF"/>
            <w:tcMar>
              <w:top w:w="65" w:type="dxa"/>
              <w:left w:w="65" w:type="dxa"/>
              <w:bottom w:w="65" w:type="dxa"/>
              <w:right w:w="65" w:type="dxa"/>
            </w:tcMar>
          </w:tcPr>
          <w:p>
            <w:pPr>
              <w:spacing w:after="20" w:before="20" w:line="245" w:lineRule="auto"/>
            </w:pPr>
            <w:r>
              <w:rPr>
                <w:sz w:val="19"/>
              </w:rPr>
              <w:t>Realized gain  $399.00 - $360.20</w:t>
            </w:r>
          </w:p>
        </w:tc>
        <w:tc>
          <w:tcPr>
            <w:tcW w:type="dxa" w:w="2506"/>
            <w:vAlign w:val="center"/>
            <w:shd w:fill="FFFFFF"/>
            <w:tcMar>
              <w:top w:w="65" w:type="dxa"/>
              <w:left w:w="65" w:type="dxa"/>
              <w:bottom w:w="65" w:type="dxa"/>
              <w:right w:w="65" w:type="dxa"/>
            </w:tcMar>
          </w:tcPr>
          <w:p>
            <w:pPr>
              <w:spacing w:after="20" w:before="20" w:line="245" w:lineRule="auto"/>
              <w:jc w:val="center"/>
            </w:pPr>
            <w:r>
              <w:rPr>
                <w:sz w:val="19"/>
              </w:rPr>
              <w:t>$38.80</w:t>
            </w:r>
          </w:p>
        </w:tc>
      </w:tr>
      <w:tr>
        <w:trPr>
          <w:cantSplit/>
        </w:trPr>
        <w:tc>
          <w:tcPr>
            <w:tcW w:type="dxa" w:w="7488"/>
            <w:vAlign w:val="center"/>
            <w:shd w:fill="F0F4F7"/>
            <w:tcMar>
              <w:top w:w="65" w:type="dxa"/>
              <w:left w:w="65" w:type="dxa"/>
              <w:bottom w:w="65" w:type="dxa"/>
              <w:right w:w="65" w:type="dxa"/>
            </w:tcMar>
          </w:tcPr>
          <w:p>
            <w:pPr>
              <w:spacing w:after="20" w:before="20" w:line="245" w:lineRule="auto"/>
            </w:pPr>
            <w:r>
              <w:rPr>
                <w:sz w:val="19"/>
              </w:rPr>
              <w:t>Remaining quantity  10 - 2</w:t>
            </w:r>
          </w:p>
        </w:tc>
        <w:tc>
          <w:tcPr>
            <w:tcW w:type="dxa" w:w="2506"/>
            <w:vAlign w:val="center"/>
            <w:shd w:fill="F0F4F7"/>
            <w:tcMar>
              <w:top w:w="65" w:type="dxa"/>
              <w:left w:w="65" w:type="dxa"/>
              <w:bottom w:w="65" w:type="dxa"/>
              <w:right w:w="65" w:type="dxa"/>
            </w:tcMar>
          </w:tcPr>
          <w:p>
            <w:pPr>
              <w:spacing w:after="20" w:before="20" w:line="245" w:lineRule="auto"/>
              <w:jc w:val="center"/>
            </w:pPr>
            <w:r>
              <w:rPr>
                <w:sz w:val="19"/>
              </w:rPr>
              <w:t>8 shares</w:t>
            </w:r>
          </w:p>
        </w:tc>
      </w:tr>
      <w:tr>
        <w:trPr>
          <w:cantSplit/>
        </w:trPr>
        <w:tc>
          <w:tcPr>
            <w:tcW w:type="dxa" w:w="7488"/>
            <w:vAlign w:val="center"/>
            <w:shd w:fill="FFFFFF"/>
            <w:tcMar>
              <w:top w:w="65" w:type="dxa"/>
              <w:left w:w="65" w:type="dxa"/>
              <w:bottom w:w="65" w:type="dxa"/>
              <w:right w:w="65" w:type="dxa"/>
            </w:tcMar>
          </w:tcPr>
          <w:p>
            <w:pPr>
              <w:spacing w:after="20" w:before="20" w:line="245" w:lineRule="auto"/>
            </w:pPr>
            <w:r>
              <w:rPr>
                <w:sz w:val="19"/>
              </w:rPr>
              <w:t>Remaining basis  $1,801.00 - $360.20</w:t>
            </w:r>
          </w:p>
        </w:tc>
        <w:tc>
          <w:tcPr>
            <w:tcW w:type="dxa" w:w="2506"/>
            <w:vAlign w:val="center"/>
            <w:shd w:fill="FFFFFF"/>
            <w:tcMar>
              <w:top w:w="65" w:type="dxa"/>
              <w:left w:w="65" w:type="dxa"/>
              <w:bottom w:w="65" w:type="dxa"/>
              <w:right w:w="65" w:type="dxa"/>
            </w:tcMar>
          </w:tcPr>
          <w:p>
            <w:pPr>
              <w:spacing w:after="20" w:before="20" w:line="245" w:lineRule="auto"/>
              <w:jc w:val="center"/>
            </w:pPr>
            <w:r>
              <w:rPr>
                <w:sz w:val="19"/>
              </w:rPr>
              <w:t>$1,440.80</w:t>
            </w:r>
          </w:p>
        </w:tc>
      </w:tr>
    </w:tbl>
    <w:p>
      <w:pPr>
        <w:pStyle w:val="Heading2"/>
        <w:spacing w:before="160"/>
      </w:pPr>
      <w:r>
        <w:t>Expected sample portfolio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88"/>
        <w:gridCol w:w="2506"/>
      </w:tblGrid>
      <w:tr>
        <w:trPr>
          <w:cantSplit/>
          <w:tblHeader/>
        </w:trPr>
        <w:tc>
          <w:tcPr>
            <w:tcW w:type="dxa" w:w="7488"/>
            <w:vAlign w:val="center"/>
            <w:shd w:fill="183A50"/>
            <w:tcMar>
              <w:top w:w="65" w:type="dxa"/>
              <w:left w:w="65" w:type="dxa"/>
              <w:bottom w:w="65" w:type="dxa"/>
              <w:right w:w="65" w:type="dxa"/>
            </w:tcMar>
          </w:tcPr>
          <w:p>
            <w:pPr>
              <w:spacing w:after="20" w:before="20" w:line="245" w:lineRule="auto"/>
            </w:pPr>
            <w:r>
              <w:rPr>
                <w:b/>
                <w:color w:val="FFFFFF"/>
                <w:sz w:val="19"/>
              </w:rPr>
              <w:t>Result</w:t>
            </w:r>
          </w:p>
        </w:tc>
        <w:tc>
          <w:tcPr>
            <w:tcW w:type="dxa" w:w="2506"/>
            <w:vAlign w:val="center"/>
            <w:shd w:fill="183A50"/>
            <w:tcMar>
              <w:top w:w="65" w:type="dxa"/>
              <w:left w:w="65" w:type="dxa"/>
              <w:bottom w:w="65" w:type="dxa"/>
              <w:right w:w="65" w:type="dxa"/>
            </w:tcMar>
          </w:tcPr>
          <w:p>
            <w:pPr>
              <w:spacing w:after="20" w:before="20" w:line="245" w:lineRule="auto"/>
              <w:jc w:val="center"/>
            </w:pPr>
            <w:r>
              <w:rPr>
                <w:b/>
                <w:color w:val="FFFFFF"/>
                <w:sz w:val="19"/>
              </w:rPr>
              <w:t>Value</w:t>
            </w:r>
          </w:p>
        </w:tc>
      </w:tr>
      <w:tr>
        <w:trPr>
          <w:cantSplit/>
        </w:trPr>
        <w:tc>
          <w:tcPr>
            <w:tcW w:type="dxa" w:w="7488"/>
            <w:vAlign w:val="center"/>
            <w:shd w:fill="FFFFFF"/>
            <w:tcMar>
              <w:top w:w="65" w:type="dxa"/>
              <w:left w:w="65" w:type="dxa"/>
              <w:bottom w:w="65" w:type="dxa"/>
              <w:right w:w="65" w:type="dxa"/>
            </w:tcMar>
          </w:tcPr>
          <w:p>
            <w:pPr>
              <w:spacing w:after="20" w:before="20" w:line="245" w:lineRule="auto"/>
            </w:pPr>
            <w:r>
              <w:rPr>
                <w:sz w:val="19"/>
              </w:rPr>
              <w:t>AAPL quantity</w:t>
            </w:r>
          </w:p>
        </w:tc>
        <w:tc>
          <w:tcPr>
            <w:tcW w:type="dxa" w:w="2506"/>
            <w:vAlign w:val="center"/>
            <w:shd w:fill="FFFFFF"/>
            <w:tcMar>
              <w:top w:w="65" w:type="dxa"/>
              <w:left w:w="65" w:type="dxa"/>
              <w:bottom w:w="65" w:type="dxa"/>
              <w:right w:w="65" w:type="dxa"/>
            </w:tcMar>
          </w:tcPr>
          <w:p>
            <w:pPr>
              <w:spacing w:after="20" w:before="20" w:line="245" w:lineRule="auto"/>
              <w:jc w:val="center"/>
            </w:pPr>
            <w:r>
              <w:rPr>
                <w:sz w:val="19"/>
              </w:rPr>
              <w:t>8 shares</w:t>
            </w:r>
          </w:p>
        </w:tc>
      </w:tr>
      <w:tr>
        <w:trPr>
          <w:cantSplit/>
        </w:trPr>
        <w:tc>
          <w:tcPr>
            <w:tcW w:type="dxa" w:w="7488"/>
            <w:vAlign w:val="center"/>
            <w:shd w:fill="F0F4F7"/>
            <w:tcMar>
              <w:top w:w="65" w:type="dxa"/>
              <w:left w:w="65" w:type="dxa"/>
              <w:bottom w:w="65" w:type="dxa"/>
              <w:right w:w="65" w:type="dxa"/>
            </w:tcMar>
          </w:tcPr>
          <w:p>
            <w:pPr>
              <w:spacing w:after="20" w:before="20" w:line="245" w:lineRule="auto"/>
            </w:pPr>
            <w:r>
              <w:rPr>
                <w:sz w:val="19"/>
              </w:rPr>
              <w:t>MSFT quantity</w:t>
            </w:r>
          </w:p>
        </w:tc>
        <w:tc>
          <w:tcPr>
            <w:tcW w:type="dxa" w:w="2506"/>
            <w:vAlign w:val="center"/>
            <w:shd w:fill="F0F4F7"/>
            <w:tcMar>
              <w:top w:w="65" w:type="dxa"/>
              <w:left w:w="65" w:type="dxa"/>
              <w:bottom w:w="65" w:type="dxa"/>
              <w:right w:w="65" w:type="dxa"/>
            </w:tcMar>
          </w:tcPr>
          <w:p>
            <w:pPr>
              <w:spacing w:after="20" w:before="20" w:line="245" w:lineRule="auto"/>
              <w:jc w:val="center"/>
            </w:pPr>
            <w:r>
              <w:rPr>
                <w:sz w:val="19"/>
              </w:rPr>
              <w:t>5 shares</w:t>
            </w:r>
          </w:p>
        </w:tc>
      </w:tr>
      <w:tr>
        <w:trPr>
          <w:cantSplit/>
        </w:trPr>
        <w:tc>
          <w:tcPr>
            <w:tcW w:type="dxa" w:w="7488"/>
            <w:vAlign w:val="center"/>
            <w:shd w:fill="FFFFFF"/>
            <w:tcMar>
              <w:top w:w="65" w:type="dxa"/>
              <w:left w:w="65" w:type="dxa"/>
              <w:bottom w:w="65" w:type="dxa"/>
              <w:right w:w="65" w:type="dxa"/>
            </w:tcMar>
          </w:tcPr>
          <w:p>
            <w:pPr>
              <w:spacing w:after="20" w:before="20" w:line="245" w:lineRule="auto"/>
            </w:pPr>
            <w:r>
              <w:rPr>
                <w:sz w:val="19"/>
              </w:rPr>
              <w:t>Cash balance</w:t>
            </w:r>
          </w:p>
        </w:tc>
        <w:tc>
          <w:tcPr>
            <w:tcW w:type="dxa" w:w="2506"/>
            <w:vAlign w:val="center"/>
            <w:shd w:fill="FFFFFF"/>
            <w:tcMar>
              <w:top w:w="65" w:type="dxa"/>
              <w:left w:w="65" w:type="dxa"/>
              <w:bottom w:w="65" w:type="dxa"/>
              <w:right w:w="65" w:type="dxa"/>
            </w:tcMar>
          </w:tcPr>
          <w:p>
            <w:pPr>
              <w:spacing w:after="20" w:before="20" w:line="245" w:lineRule="auto"/>
              <w:jc w:val="center"/>
            </w:pPr>
            <w:r>
              <w:rPr>
                <w:sz w:val="19"/>
              </w:rPr>
              <w:t>$6,099.50</w:t>
            </w:r>
          </w:p>
        </w:tc>
      </w:tr>
      <w:tr>
        <w:trPr>
          <w:cantSplit/>
        </w:trPr>
        <w:tc>
          <w:tcPr>
            <w:tcW w:type="dxa" w:w="7488"/>
            <w:vAlign w:val="center"/>
            <w:shd w:fill="F0F4F7"/>
            <w:tcMar>
              <w:top w:w="65" w:type="dxa"/>
              <w:left w:w="65" w:type="dxa"/>
              <w:bottom w:w="65" w:type="dxa"/>
              <w:right w:w="65" w:type="dxa"/>
            </w:tcMar>
          </w:tcPr>
          <w:p>
            <w:pPr>
              <w:spacing w:after="20" w:before="20" w:line="245" w:lineRule="auto"/>
            </w:pPr>
            <w:r>
              <w:rPr>
                <w:sz w:val="19"/>
              </w:rPr>
              <w:t>Remaining AAPL basis</w:t>
            </w:r>
          </w:p>
        </w:tc>
        <w:tc>
          <w:tcPr>
            <w:tcW w:type="dxa" w:w="2506"/>
            <w:vAlign w:val="center"/>
            <w:shd w:fill="F0F4F7"/>
            <w:tcMar>
              <w:top w:w="65" w:type="dxa"/>
              <w:left w:w="65" w:type="dxa"/>
              <w:bottom w:w="65" w:type="dxa"/>
              <w:right w:w="65" w:type="dxa"/>
            </w:tcMar>
          </w:tcPr>
          <w:p>
            <w:pPr>
              <w:spacing w:after="20" w:before="20" w:line="245" w:lineRule="auto"/>
              <w:jc w:val="center"/>
            </w:pPr>
            <w:r>
              <w:rPr>
                <w:sz w:val="19"/>
              </w:rPr>
              <w:t>$1,440.80</w:t>
            </w:r>
          </w:p>
        </w:tc>
      </w:tr>
      <w:tr>
        <w:trPr>
          <w:cantSplit/>
        </w:trPr>
        <w:tc>
          <w:tcPr>
            <w:tcW w:type="dxa" w:w="7488"/>
            <w:vAlign w:val="center"/>
            <w:shd w:fill="FFFFFF"/>
            <w:tcMar>
              <w:top w:w="65" w:type="dxa"/>
              <w:left w:w="65" w:type="dxa"/>
              <w:bottom w:w="65" w:type="dxa"/>
              <w:right w:w="65" w:type="dxa"/>
            </w:tcMar>
          </w:tcPr>
          <w:p>
            <w:pPr>
              <w:spacing w:after="20" w:before="20" w:line="245" w:lineRule="auto"/>
            </w:pPr>
            <w:r>
              <w:rPr>
                <w:sz w:val="19"/>
              </w:rPr>
              <w:t>Realized AAPL gain</w:t>
            </w:r>
          </w:p>
        </w:tc>
        <w:tc>
          <w:tcPr>
            <w:tcW w:type="dxa" w:w="2506"/>
            <w:vAlign w:val="center"/>
            <w:shd w:fill="FFFFFF"/>
            <w:tcMar>
              <w:top w:w="65" w:type="dxa"/>
              <w:left w:w="65" w:type="dxa"/>
              <w:bottom w:w="65" w:type="dxa"/>
              <w:right w:w="65" w:type="dxa"/>
            </w:tcMar>
          </w:tcPr>
          <w:p>
            <w:pPr>
              <w:spacing w:after="20" w:before="20" w:line="245" w:lineRule="auto"/>
              <w:jc w:val="center"/>
            </w:pPr>
            <w:r>
              <w:rPr>
                <w:sz w:val="19"/>
              </w:rPr>
              <w:t>$38.80</w:t>
            </w:r>
          </w:p>
        </w:tc>
      </w:tr>
      <w:tr>
        <w:trPr>
          <w:cantSplit/>
        </w:trPr>
        <w:tc>
          <w:tcPr>
            <w:tcW w:type="dxa" w:w="7488"/>
            <w:vAlign w:val="center"/>
            <w:shd w:fill="F0F4F7"/>
            <w:tcMar>
              <w:top w:w="65" w:type="dxa"/>
              <w:left w:w="65" w:type="dxa"/>
              <w:bottom w:w="65" w:type="dxa"/>
              <w:right w:w="65" w:type="dxa"/>
            </w:tcMar>
          </w:tcPr>
          <w:p>
            <w:pPr>
              <w:spacing w:after="20" w:before="20" w:line="245" w:lineRule="auto"/>
            </w:pPr>
            <w:r>
              <w:rPr>
                <w:sz w:val="19"/>
              </w:rPr>
              <w:t>Portfolio value using synthetic demo prices</w:t>
            </w:r>
          </w:p>
        </w:tc>
        <w:tc>
          <w:tcPr>
            <w:tcW w:type="dxa" w:w="2506"/>
            <w:vAlign w:val="center"/>
            <w:shd w:fill="F0F4F7"/>
            <w:tcMar>
              <w:top w:w="65" w:type="dxa"/>
              <w:left w:w="65" w:type="dxa"/>
              <w:bottom w:w="65" w:type="dxa"/>
              <w:right w:w="65" w:type="dxa"/>
            </w:tcMar>
          </w:tcPr>
          <w:p>
            <w:pPr>
              <w:spacing w:after="20" w:before="20" w:line="245" w:lineRule="auto"/>
              <w:jc w:val="center"/>
            </w:pPr>
            <w:r>
              <w:rPr>
                <w:sz w:val="19"/>
              </w:rPr>
              <w:t>$10,069.50</w:t>
            </w:r>
          </w:p>
        </w:tc>
      </w:tr>
    </w:tbl>
    <w:p>
      <w:pPr>
        <w:spacing w:before="160"/>
      </w:pPr>
      <w:r>
        <w:t>The sample also has $2,001.00 remaining MSFT basis, $2.50 in dividends and $9,500.00 in net contributions. Sample cash reconciliation: $10,000.00 - $1,801.00 - $2,001.00 + $2.50 + $399.00 - $500.00 = $6,099.50. Demo holdings value is 8 × $215 + 5 × $450 = $3,970.00.</w:t>
      </w:r>
    </w:p>
    <w:p>
      <w:pPr>
        <w:pStyle w:val="Heading2"/>
      </w:pPr>
      <w:r>
        <w:t>Unavailable and unreliable results</w:t>
      </w:r>
    </w:p>
    <w:p>
      <w:r>
        <w:t>Sales exceeding available shares make basis and realized gains unavailable. Unknown cost basis is not fabricated. Missing prices make value totals incomplete. Zero denominators display N/A. Opening snapshots and reporting filters do not repair omitted trades, transfers or corporate actions.</w:t>
      </w:r>
    </w:p>
    <w:p>
      <w:pPr>
        <w:pStyle w:val="Heading1"/>
        <w:pageBreakBefore/>
      </w:pPr>
      <w:r>
        <w:t>8 Brokerage connections and verification status</w:t>
      </w:r>
    </w:p>
    <w:p>
      <w:pPr>
        <w:pStyle w:val="Heading2"/>
      </w:pPr>
      <w:r>
        <w:t>E TRADE authorization and synchronization</w:t>
      </w:r>
    </w:p>
    <w:p>
      <w:r>
        <w:t>The E*TRADE adapter implements the documented OAuth 1.0a flow and read-only account access. Configure sandbox or production consumer credentials in .env; use matching keys for the selected environment. Brokerage passwords are never requested or stored by the application.</w:t>
      </w:r>
    </w:p>
    <w:p>
      <w:pPr>
        <w:ind w:left="259" w:hanging="259"/>
      </w:pPr>
      <w:r>
        <w:t>1.  Select Start authorization in the E*TRADE card. Open Authorize on E*TRADE and sign in on the brokerage website.</w:t>
      </w:r>
    </w:p>
    <w:p>
      <w:pPr>
        <w:ind w:left="259" w:hanging="259"/>
      </w:pPr>
      <w:r>
        <w:t>2.  Grant access and copy the verifier into E*TRADE verifier. Choose Complete authorization.</w:t>
      </w:r>
    </w:p>
    <w:p>
      <w:pPr>
        <w:ind w:left="259" w:hanging="259"/>
      </w:pPr>
      <w:r>
        <w:t>3.  Select Accounts to synchronize and a Broker history start date, then choose Synchronize selected accounts.</w:t>
      </w:r>
    </w:p>
    <w:p>
      <w:pPr>
        <w:ind w:left="259" w:hanging="259"/>
      </w:pPr>
      <w:r>
        <w:t>4.  Review synchronization progress, available balances and positions, imported transactions and data-quality flags. Refresh prices separately when needed.</w:t>
      </w:r>
    </w:p>
    <w:p>
      <w:r>
        <w:t>Request tokens last five minutes. Access tokens become inactive after two hours without requests and expire at midnight US Eastern time. Use Renew inactive authorization or reconnect after expiry. Disconnect E*TRADE attempts token revocation before clearing local session data; retry if revocation fails.</w:t>
      </w:r>
    </w:p>
    <w:p>
      <w:pPr>
        <w:pStyle w:val="Heading2"/>
      </w:pPr>
      <w:r>
        <w:t>Broker observations and reconstructed history</w:t>
      </w:r>
    </w:p>
    <w:p>
      <w:r>
        <w:t>For a current end date, Broker snapshot is the preferred balance source for synchronized accounts. Reconstructed history remains an alternate view. Broker position quantities are compared with reconstructed quantities in the reconciliation table. Missing broker cost basis stays N/A, and current reported cash is not treated as an opening balance.</w:t>
      </w:r>
    </w:p>
    <w:p>
      <w:r>
        <w:t>History requests are bounded to a maximum 729-day selection. The adapter uses 20-second request timeouts, up to three attempts for retriable GET failures and a 200-page bound. Ambiguous transfers and unsupported activity are flagged. Broker snapshots do not establish historical FIFO lots; realized gains require complete history and reliable opening balances.</w:t>
      </w:r>
    </w:p>
    <w:p>
      <w:pPr>
        <w:pStyle w:val="Heading2"/>
      </w:pPr>
      <w:r>
        <w:t>Robinhood connection status</w:t>
      </w:r>
    </w:p>
    <w:p>
      <w:r>
        <w:t>This configuration displays: Direct Robinhood stock account connection is unavailable in this configuration. Import your transactions using CSV.</w:t>
      </w:r>
    </w:p>
    <w:p>
      <w:r>
        <w:t>The README records Robinhood’s official OAuth Trading MCP as a supported stock-account access surface. No authorized MCP session or approved client connection is configured in this app. A future adapter requires verified schemas and read-only tool allowlisting. Private APIs, scraping, brokerage passwords and crypto-account substitution are not used.</w:t>
      </w:r>
    </w:p>
    <w:p>
      <w:pPr>
        <w:pStyle w:val="Heading2"/>
      </w:pPr>
      <w:r>
        <w:t>Verification boundaries</w:t>
      </w:r>
    </w:p>
    <w:p>
      <w:r>
        <w:t>The README records fixture and mock coverage for E*TRADE routes, pagination, expired authorization and snapshot handling. Neither sandbox nor production authorization, data retrieval or broker quotes has been verified with actual credentials. Validate response casing, transaction categories and pagination against a credentialed sandbox before relying on broker analytics.</w:t>
      </w:r>
    </w:p>
    <w:p>
      <w:r>
        <w:t>Official API references were reviewed during implementation on October 10, 2026. Credentialed brokerage verification remains outstanding.</w:t>
      </w:r>
    </w:p>
    <w:p>
      <w:pPr>
        <w:pStyle w:val="Heading1"/>
        <w:pageBreakBefore/>
      </w:pPr>
      <w:r>
        <w:t>9 Security development and troubleshooting</w:t>
      </w:r>
    </w:p>
    <w:p>
      <w:pPr>
        <w:pStyle w:val="Heading2"/>
      </w:pPr>
      <w:r>
        <w:t>Session privacy and safe handling</w:t>
      </w:r>
    </w:p>
    <w:p>
      <w:r>
        <w:t>Imported financial data, broker objects and tokens remain in individual Streamlit sessions. The app does not persist financial data by default or place it in shared caches. Application credentials come from environment variables. Git exclusions cover .env, token folders, private imported data and Streamlit secrets.</w:t>
      </w:r>
    </w:p>
    <w:p>
      <w:r>
        <w:t>Clear imported data removes portfolio records, opening balances, quotes and snapshots in the current session; it does not revoke brokerage authorization. Disconnect E*TRADE is the revocation workflow. Keep original input files because session data can be lost on reconnect or restart.</w:t>
      </w:r>
    </w:p>
    <w:p>
      <w:r>
        <w:t>Broker error messages avoid raw response bodies. Exported text beginning with spreadsheet formula prefixes is escaped with an apostrophe; genuine signed numeric amounts remain numeric. The app has no login layer and is intended for local use. Multi-user hosting needs authentication and deployment review.</w:t>
      </w:r>
    </w:p>
    <w:p>
      <w:pPr>
        <w:pStyle w:val="Heading2"/>
      </w:pPr>
      <w:r>
        <w:t>Project structure and testing</w:t>
      </w:r>
    </w:p>
    <w:p>
      <w:r>
        <w:t>app.py owns the session and source workflows; components/dashboard.py renders metrics and charts. models/ defines normalized data. services/ contains import validation, Decimal calculations, pricing and reconciliation. integrations/ contains read-only adapter interfaces, E*TRADE OAuth access and conservative broker normalization. sample_data/ provides examples and tests/ contains calculation, import, adapter and Streamlit interaction checks.</w:t>
      </w:r>
    </w:p>
    <w:p>
      <w:pPr>
        <w:pStyle w:val="Code"/>
      </w:pPr>
      <w:r>
        <w:t>python -m pytest</w:t>
      </w:r>
    </w:p>
    <w:p>
      <w:r>
        <w:t>The recorded implementation handoff reported 31 passing tests and a successful local server health check. Coverage includes sample totals, partial and multiple FIFO lots, fractions, fees, account isolation, income, contributions, duplicate imports, invalid rows, missing prices, incomplete history, oversales, safe export and UI session isolation. These are the recorded implementation checks. Rerun the suite after modifying the application; the brokerage verification limits above still apply.</w:t>
      </w:r>
    </w:p>
    <w:p>
      <w:pPr>
        <w:pStyle w:val="Heading2"/>
      </w:pPr>
      <w:r>
        <w:t>Troubleshooting reference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7"/>
        <w:gridCol w:w="6926"/>
      </w:tblGrid>
      <w:tr>
        <w:trPr>
          <w:cantSplit/>
          <w:tblHeader/>
        </w:trPr>
        <w:tc>
          <w:tcPr>
            <w:tcW w:type="dxa" w:w="3067"/>
            <w:vAlign w:val="center"/>
            <w:shd w:fill="183A50"/>
            <w:tcMar>
              <w:top w:w="65" w:type="dxa"/>
              <w:left w:w="65" w:type="dxa"/>
              <w:bottom w:w="65" w:type="dxa"/>
              <w:right w:w="65" w:type="dxa"/>
            </w:tcMar>
          </w:tcPr>
          <w:p>
            <w:pPr>
              <w:spacing w:after="20" w:before="20" w:line="245" w:lineRule="auto"/>
            </w:pPr>
            <w:r>
              <w:rPr>
                <w:b/>
                <w:color w:val="FFFFFF"/>
                <w:sz w:val="19"/>
              </w:rPr>
              <w:t>Symptom</w:t>
            </w:r>
          </w:p>
        </w:tc>
        <w:tc>
          <w:tcPr>
            <w:tcW w:type="dxa" w:w="6926"/>
            <w:vAlign w:val="center"/>
            <w:shd w:fill="183A50"/>
            <w:tcMar>
              <w:top w:w="65" w:type="dxa"/>
              <w:left w:w="65" w:type="dxa"/>
              <w:bottom w:w="65" w:type="dxa"/>
              <w:right w:w="65" w:type="dxa"/>
            </w:tcMar>
          </w:tcPr>
          <w:p>
            <w:pPr>
              <w:spacing w:after="20" w:before="20" w:line="245" w:lineRule="auto"/>
            </w:pPr>
            <w:r>
              <w:rPr>
                <w:b/>
                <w:color w:val="FFFFFF"/>
                <w:sz w:val="19"/>
              </w:rPr>
              <w:t>Action</w:t>
            </w:r>
          </w:p>
        </w:tc>
      </w:tr>
      <w:tr>
        <w:trPr>
          <w:cantSplit/>
        </w:trPr>
        <w:tc>
          <w:tcPr>
            <w:tcW w:type="dxa" w:w="3067"/>
            <w:vAlign w:val="center"/>
            <w:shd w:fill="FFFFFF"/>
            <w:tcMar>
              <w:top w:w="65" w:type="dxa"/>
              <w:left w:w="65" w:type="dxa"/>
              <w:bottom w:w="65" w:type="dxa"/>
              <w:right w:w="65" w:type="dxa"/>
            </w:tcMar>
          </w:tcPr>
          <w:p>
            <w:pPr>
              <w:spacing w:after="20" w:before="20" w:line="245" w:lineRule="auto"/>
            </w:pPr>
            <w:r>
              <w:rPr>
                <w:sz w:val="19"/>
              </w:rPr>
              <w:t>N/A totals or gains</w:t>
            </w:r>
          </w:p>
        </w:tc>
        <w:tc>
          <w:tcPr>
            <w:tcW w:type="dxa" w:w="6926"/>
            <w:vAlign w:val="center"/>
            <w:shd w:fill="FFFFFF"/>
            <w:tcMar>
              <w:top w:w="65" w:type="dxa"/>
              <w:left w:w="65" w:type="dxa"/>
              <w:bottom w:w="65" w:type="dxa"/>
              <w:right w:w="65" w:type="dxa"/>
            </w:tcMar>
          </w:tcPr>
          <w:p>
            <w:pPr>
              <w:spacing w:after="20" w:before="20" w:line="245" w:lineRule="auto"/>
            </w:pPr>
            <w:r>
              <w:rPr>
                <w:sz w:val="19"/>
              </w:rPr>
              <w:t>Check prices, opening basis, history completeness and data-quality flags.</w:t>
            </w:r>
          </w:p>
        </w:tc>
      </w:tr>
      <w:tr>
        <w:trPr>
          <w:cantSplit/>
        </w:trPr>
        <w:tc>
          <w:tcPr>
            <w:tcW w:type="dxa" w:w="3067"/>
            <w:vAlign w:val="center"/>
            <w:shd w:fill="F0F4F7"/>
            <w:tcMar>
              <w:top w:w="65" w:type="dxa"/>
              <w:left w:w="65" w:type="dxa"/>
              <w:bottom w:w="65" w:type="dxa"/>
              <w:right w:w="65" w:type="dxa"/>
            </w:tcMar>
          </w:tcPr>
          <w:p>
            <w:pPr>
              <w:spacing w:after="20" w:before="20" w:line="245" w:lineRule="auto"/>
            </w:pPr>
            <w:r>
              <w:rPr>
                <w:sz w:val="19"/>
              </w:rPr>
              <w:t>Rejected CSV rows</w:t>
            </w:r>
          </w:p>
        </w:tc>
        <w:tc>
          <w:tcPr>
            <w:tcW w:type="dxa" w:w="6926"/>
            <w:vAlign w:val="center"/>
            <w:shd w:fill="F0F4F7"/>
            <w:tcMar>
              <w:top w:w="65" w:type="dxa"/>
              <w:left w:w="65" w:type="dxa"/>
              <w:bottom w:w="65" w:type="dxa"/>
              <w:right w:w="65" w:type="dxa"/>
            </w:tcMar>
          </w:tcPr>
          <w:p>
            <w:pPr>
              <w:spacing w:after="20" w:before="20" w:line="245" w:lineRule="auto"/>
            </w:pPr>
            <w:r>
              <w:rPr>
                <w:sz w:val="19"/>
              </w:rPr>
              <w:t>Correct the reported row, field format, signed amount or currency; reimport.</w:t>
            </w:r>
          </w:p>
        </w:tc>
      </w:tr>
      <w:tr>
        <w:trPr>
          <w:cantSplit/>
        </w:trPr>
        <w:tc>
          <w:tcPr>
            <w:tcW w:type="dxa" w:w="3067"/>
            <w:vAlign w:val="center"/>
            <w:shd w:fill="FFFFFF"/>
            <w:tcMar>
              <w:top w:w="65" w:type="dxa"/>
              <w:left w:w="65" w:type="dxa"/>
              <w:bottom w:w="65" w:type="dxa"/>
              <w:right w:w="65" w:type="dxa"/>
            </w:tcMar>
          </w:tcPr>
          <w:p>
            <w:pPr>
              <w:spacing w:after="20" w:before="20" w:line="245" w:lineRule="auto"/>
            </w:pPr>
            <w:r>
              <w:rPr>
                <w:sz w:val="19"/>
              </w:rPr>
              <w:t>Missing or duplicate activity</w:t>
            </w:r>
          </w:p>
        </w:tc>
        <w:tc>
          <w:tcPr>
            <w:tcW w:type="dxa" w:w="6926"/>
            <w:vAlign w:val="center"/>
            <w:shd w:fill="FFFFFF"/>
            <w:tcMar>
              <w:top w:w="65" w:type="dxa"/>
              <w:left w:w="65" w:type="dxa"/>
              <w:bottom w:w="65" w:type="dxa"/>
              <w:right w:w="65" w:type="dxa"/>
            </w:tcMar>
          </w:tcPr>
          <w:p>
            <w:pPr>
              <w:spacing w:after="20" w:before="20" w:line="245" w:lineRule="auto"/>
            </w:pPr>
            <w:r>
              <w:rPr>
                <w:sz w:val="19"/>
              </w:rPr>
              <w:t>Keep stable IDs, account and source labels; resolve conflicts explicitly.</w:t>
            </w:r>
          </w:p>
        </w:tc>
      </w:tr>
      <w:tr>
        <w:trPr>
          <w:cantSplit/>
        </w:trPr>
        <w:tc>
          <w:tcPr>
            <w:tcW w:type="dxa" w:w="3067"/>
            <w:vAlign w:val="center"/>
            <w:shd w:fill="F0F4F7"/>
            <w:tcMar>
              <w:top w:w="65" w:type="dxa"/>
              <w:left w:w="65" w:type="dxa"/>
              <w:bottom w:w="65" w:type="dxa"/>
              <w:right w:w="65" w:type="dxa"/>
            </w:tcMar>
          </w:tcPr>
          <w:p>
            <w:pPr>
              <w:spacing w:after="20" w:before="20" w:line="245" w:lineRule="auto"/>
            </w:pPr>
            <w:r>
              <w:rPr>
                <w:sz w:val="19"/>
              </w:rPr>
              <w:t>Broker authorization fails</w:t>
            </w:r>
          </w:p>
        </w:tc>
        <w:tc>
          <w:tcPr>
            <w:tcW w:type="dxa" w:w="6926"/>
            <w:vAlign w:val="center"/>
            <w:shd w:fill="F0F4F7"/>
            <w:tcMar>
              <w:top w:w="65" w:type="dxa"/>
              <w:left w:w="65" w:type="dxa"/>
              <w:bottom w:w="65" w:type="dxa"/>
              <w:right w:w="65" w:type="dxa"/>
            </w:tcMar>
          </w:tcPr>
          <w:p>
            <w:pPr>
              <w:spacing w:after="20" w:before="20" w:line="245" w:lineRule="auto"/>
            </w:pPr>
            <w:r>
              <w:rPr>
                <w:sz w:val="19"/>
              </w:rPr>
              <w:t>Check matching environment keys; restart authorization for expired verifiers.</w:t>
            </w:r>
          </w:p>
        </w:tc>
      </w:tr>
      <w:tr>
        <w:trPr>
          <w:cantSplit/>
        </w:trPr>
        <w:tc>
          <w:tcPr>
            <w:tcW w:type="dxa" w:w="3067"/>
            <w:vAlign w:val="center"/>
            <w:shd w:fill="FFFFFF"/>
            <w:tcMar>
              <w:top w:w="65" w:type="dxa"/>
              <w:left w:w="65" w:type="dxa"/>
              <w:bottom w:w="65" w:type="dxa"/>
              <w:right w:w="65" w:type="dxa"/>
            </w:tcMar>
          </w:tcPr>
          <w:p>
            <w:pPr>
              <w:spacing w:after="20" w:before="20" w:line="245" w:lineRule="auto"/>
            </w:pPr>
            <w:r>
              <w:rPr>
                <w:sz w:val="19"/>
              </w:rPr>
              <w:t>Negative cash or excess sale</w:t>
            </w:r>
          </w:p>
        </w:tc>
        <w:tc>
          <w:tcPr>
            <w:tcW w:type="dxa" w:w="6926"/>
            <w:vAlign w:val="center"/>
            <w:shd w:fill="FFFFFF"/>
            <w:tcMar>
              <w:top w:w="65" w:type="dxa"/>
              <w:left w:w="65" w:type="dxa"/>
              <w:bottom w:w="65" w:type="dxa"/>
              <w:right w:w="65" w:type="dxa"/>
            </w:tcMar>
          </w:tcPr>
          <w:p>
            <w:pPr>
              <w:spacing w:after="20" w:before="20" w:line="245" w:lineRule="auto"/>
            </w:pPr>
            <w:r>
              <w:rPr>
                <w:sz w:val="19"/>
              </w:rPr>
              <w:t>Reconcile missing funding, opening shares, margin activity or corporate actions.</w:t>
            </w:r>
          </w:p>
        </w:tc>
      </w:tr>
      <w:tr>
        <w:trPr>
          <w:cantSplit/>
        </w:trPr>
        <w:tc>
          <w:tcPr>
            <w:tcW w:type="dxa" w:w="3067"/>
            <w:vAlign w:val="center"/>
            <w:shd w:fill="F0F4F7"/>
            <w:tcMar>
              <w:top w:w="65" w:type="dxa"/>
              <w:left w:w="65" w:type="dxa"/>
              <w:bottom w:w="65" w:type="dxa"/>
              <w:right w:w="65" w:type="dxa"/>
            </w:tcMar>
          </w:tcPr>
          <w:p>
            <w:pPr>
              <w:spacing w:after="20" w:before="20" w:line="245" w:lineRule="auto"/>
            </w:pPr>
            <w:r>
              <w:rPr>
                <w:sz w:val="19"/>
              </w:rPr>
              <w:t>LibreSSL warning</w:t>
            </w:r>
          </w:p>
        </w:tc>
        <w:tc>
          <w:tcPr>
            <w:tcW w:type="dxa" w:w="6926"/>
            <w:vAlign w:val="center"/>
            <w:shd w:fill="F0F4F7"/>
            <w:tcMar>
              <w:top w:w="65" w:type="dxa"/>
              <w:left w:w="65" w:type="dxa"/>
              <w:bottom w:w="65" w:type="dxa"/>
              <w:right w:w="65" w:type="dxa"/>
            </w:tcMar>
          </w:tcPr>
          <w:p>
            <w:pPr>
              <w:spacing w:after="20" w:before="20" w:line="245" w:lineRule="auto"/>
            </w:pPr>
            <w:r>
              <w:rPr>
                <w:sz w:val="19"/>
              </w:rPr>
              <w:t>Use Python 3.11+ with OpenSSL before validating brokerage HTTPS access.</w:t>
            </w:r>
          </w:p>
        </w:tc>
      </w:tr>
    </w:tbl>
    <w:p>
      <w:pPr>
        <w:pStyle w:val="Heading2"/>
        <w:spacing w:before="160"/>
      </w:pPr>
      <w:r>
        <w:t>Documentation and official references</w:t>
      </w:r>
    </w:p>
    <w:p>
      <w:r>
        <w:t>Primary project references: README.md, app.py, components/dashboard.py, services/ and integrations/. Brokerage references recorded in the README include the E*TRADE developer guide and account, portfolio, quote and revocation API documentation, plus Robinhood’s external-agent onboarding documentation.</w:t>
      </w:r>
    </w:p>
    <w:p>
      <w:pPr>
        <w:pStyle w:val="Code"/>
      </w:pPr>
      <w:r>
        <w:t>developer.etrade.com/getting-started/developer-guides</w:t>
        <w:br/>
        <w:t>apisb.etrade.com/docs/api/</w:t>
        <w:br/>
        <w:t>robinhood.com/us/en/support/articles/onboarding-an-external-agent/</w:t>
      </w:r>
    </w:p>
    <w:sectPr w:rsidR="00FC693F" w:rsidRPr="0006063C" w:rsidSect="00034616">
      <w:footerReference w:type="default" r:id="rId9"/>
      <w:pgSz w:w="12240" w:h="15840"/>
      <w:pgMar w:top="936" w:right="1123" w:bottom="936"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Stock Portfolio Analyzer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20" w:line="240" w:lineRule="auto"/>
    </w:pPr>
    <w:rPr>
      <w:rFonts w:ascii="Liberation Mono" w:hAnsi="Liberation Mono"/>
      <w:sz w:val="18"/>
      <w:rFonts w:ascii="Liberation Mono" w:hAnsi="Liberation Mono" w:eastAsia="Liberation Mono" w:cs="Liberation Mon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Portfolio Analyzer User and Technical Guide</dc:title>
  <dc:subject>Setup, portfolio workflows, financial methodology and integration limitations</dc:subject>
  <dc:creator/>
  <cp:keywords>Portfolio, Streamlit, CSV, FIFO, user guide</cp:keywords>
  <dc:description>generated by python-docx</dc:description>
  <cp:lastModifiedBy/>
  <cp:revision>1</cp:revision>
  <dcterms:created xsi:type="dcterms:W3CDTF">2013-12-23T23:15:00Z</dcterms:created>
  <dcterms:modified xsi:type="dcterms:W3CDTF">2013-12-23T23:15:00Z</dcterms:modified>
  <cp:category/>
</cp:coreProperties>
</file>