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649">
      <w:pPr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</w:rPr>
        <w:t>R</w:t>
      </w:r>
      <w:r>
        <w:rPr>
          <w:rFonts w:ascii="NimbusSanL-Bold" w:hAnsi="NimbusSanL-Bold" w:cs="NimbusSanL-Bold"/>
          <w:b/>
          <w:bCs/>
          <w:sz w:val="18"/>
          <w:szCs w:val="18"/>
        </w:rPr>
        <w:t>EFERENCES</w:t>
      </w:r>
    </w:p>
    <w:p w:rsidR="001A0649" w:rsidRPr="005F207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207D">
        <w:rPr>
          <w:rFonts w:ascii="Times New Roman" w:hAnsi="Times New Roman"/>
          <w:sz w:val="24"/>
          <w:szCs w:val="24"/>
        </w:rPr>
        <w:t>[1] Amazon Auto Scaling. https://aws.amazon.com/autoscaling/.</w:t>
      </w:r>
    </w:p>
    <w:p w:rsidR="001A0649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0649" w:rsidRPr="005F207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207D">
        <w:rPr>
          <w:rFonts w:ascii="Times New Roman" w:hAnsi="Times New Roman"/>
          <w:sz w:val="24"/>
          <w:szCs w:val="24"/>
        </w:rPr>
        <w:t xml:space="preserve">[2] Amazon EC2. </w:t>
      </w:r>
      <w:hyperlink r:id="rId4" w:history="1">
        <w:r w:rsidRPr="00924D6D">
          <w:rPr>
            <w:rStyle w:val="Hyperlink"/>
            <w:rFonts w:ascii="Times New Roman" w:hAnsi="Times New Roman"/>
            <w:sz w:val="24"/>
            <w:szCs w:val="24"/>
          </w:rPr>
          <w:t>http://aws.amazon.com/ec2/</w:t>
        </w:r>
      </w:hyperlink>
      <w:r w:rsidRPr="005F207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207D">
        <w:rPr>
          <w:rFonts w:ascii="Times New Roman" w:hAnsi="Times New Roman"/>
          <w:sz w:val="24"/>
          <w:szCs w:val="24"/>
        </w:rPr>
        <w:t>2168-7161 (c) 2018 IEEE</w:t>
      </w:r>
    </w:p>
    <w:p w:rsidR="001A0649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0649" w:rsidRPr="005F207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207D">
        <w:rPr>
          <w:rFonts w:ascii="Times New Roman" w:hAnsi="Times New Roman"/>
          <w:sz w:val="24"/>
          <w:szCs w:val="24"/>
        </w:rPr>
        <w:t xml:space="preserve">[3] Amazon EC2 Pricing. </w:t>
      </w:r>
      <w:hyperlink r:id="rId5" w:history="1">
        <w:r w:rsidRPr="00924D6D">
          <w:rPr>
            <w:rStyle w:val="Hyperlink"/>
            <w:rFonts w:ascii="Times New Roman" w:hAnsi="Times New Roman"/>
            <w:sz w:val="24"/>
            <w:szCs w:val="24"/>
          </w:rPr>
          <w:t>http://aws.amazon.com/ec2/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5F207D">
        <w:rPr>
          <w:rFonts w:ascii="Times New Roman" w:hAnsi="Times New Roman"/>
          <w:sz w:val="24"/>
          <w:szCs w:val="24"/>
        </w:rPr>
        <w:t>pricing/.</w:t>
      </w:r>
    </w:p>
    <w:p w:rsidR="001A0649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0649" w:rsidRPr="005F207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F207D">
        <w:rPr>
          <w:rFonts w:ascii="Times New Roman" w:hAnsi="Times New Roman"/>
          <w:sz w:val="24"/>
          <w:szCs w:val="24"/>
        </w:rPr>
        <w:t>[4] Motion JPEG Video Codec. http://www.digitalpreservation.gov/formats/fdd/fdd000063.shtml.</w:t>
      </w:r>
    </w:p>
    <w:p w:rsidR="001A0649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0649" w:rsidRDefault="001A0649" w:rsidP="001A0649">
      <w:pPr>
        <w:rPr>
          <w:szCs w:val="24"/>
        </w:rPr>
      </w:pPr>
      <w:r w:rsidRPr="005F207D">
        <w:rPr>
          <w:rFonts w:ascii="Times New Roman" w:hAnsi="Times New Roman"/>
          <w:sz w:val="24"/>
          <w:szCs w:val="24"/>
        </w:rPr>
        <w:t>[5] netem, Network Emulation Utility. http://www.linuxfoundation.org/collaborate/workgroups/networking/netem</w:t>
      </w:r>
    </w:p>
    <w:p w:rsidR="001A0649" w:rsidRPr="007506AD" w:rsidRDefault="001A0649" w:rsidP="001A0649">
      <w:pPr>
        <w:rPr>
          <w:rFonts w:ascii="Times New Roman" w:eastAsia="Times New Roman" w:hAnsi="Times New Roman" w:cs="Times New Roman"/>
          <w:sz w:val="24"/>
          <w:szCs w:val="24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[6] Network cam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era and video analytics market. </w:t>
      </w:r>
      <w:hyperlink r:id="rId6" w:history="1">
        <w:r w:rsidRPr="007506AD">
          <w:rPr>
            <w:rStyle w:val="Hyperlink"/>
            <w:rFonts w:ascii="Times New Roman" w:hAnsi="Times New Roman"/>
            <w:sz w:val="24"/>
            <w:szCs w:val="24"/>
            <w:lang w:eastAsia="en-IN"/>
          </w:rPr>
          <w:t>http://www.marketsandmarkets.com/Market-Reports/</w:t>
        </w:r>
      </w:hyperlink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visual-communication-market-775.html, 2011.</w:t>
      </w:r>
    </w:p>
    <w:p w:rsidR="001A0649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[7] G. Bradski. The OpenCV library. Dr. Dobb’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s Journal of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Software Tools, 25(11):120, 122–125, 2000.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[8] J. Canny. A computatio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nal approach to edge detection.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Pattern Analysis and Machine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Intelligence, IEEE Transactions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on, (6):679–698, 1986.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[9] W. Chen et al. Adaptiv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e cloud resource allocation for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analysing many video streams. In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IEEE International Conference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on Cloud Computing Technology and Science, 2015.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[10] W. Chen et al. Analysis of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large-scale distributed cameras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using the cloud. Cloud Computing, IEEE, 2(5):54–62, 2015.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[11] I. I. CPLEX. V12. 1: Users manual for cplex.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International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Business Machines Corporation, 46(53):157, 2009.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[12] Crainic et al. Efficient lowe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r bounds and heuristics for the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variable cost and size bin packing problem.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Computers &amp;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Operations Research, 38(11):1474–1482, 2011.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[13] D. K. Friesen and M.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A. Langston. Variable sized bin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packing. SIAM journal on computing, 15(1):222–230, 1986.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[14] R. Gargees et al. Incident-su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pporting visual cloud computing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utilizing software-defined networking.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IEEE Transactions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on Circuits and Systems for Video Technology, 27(1):182–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197, 2017.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[15] Hossain et al. Resource all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ocation for service composition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in cloud-based video surveillance platform. In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Multimedia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and Expo Workshops (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ICMEW), 2012 IEEE International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Conference on, pages 408–412, 2012.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lastRenderedPageBreak/>
        <w:t>[16] M. A. Hossain and B. Song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. Efficient resource management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for cloud-enabled video su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rveillance over next generation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network. 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Mobile Networks and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Applications, 21(5):806–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821,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2016.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[17] S. Islam, J. Keung, K. Lee, a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nd A. Liu. Empirical prediction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models for adaptive reso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urce provisioning in the cloud.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Future Generation Computer Systems, 28(1):155–162, 2012.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[18] A. S. Kaseb et al. A sys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tem for large-scale analysis of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distributed cameras. In I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EEE Global Conference on Signal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and Information Processing, pages 340–344, 2014.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[19] A. S. Kaseb et al. Clou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d resource management for image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and video analysis of bi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g data from network cameras. In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International Conference on Cloud Computing and Big Data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,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2015.</w:t>
      </w: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  <w:lang w:eastAsia="en-IN"/>
        </w:rPr>
      </w:pPr>
    </w:p>
    <w:p w:rsidR="001A0649" w:rsidRPr="007506AD" w:rsidRDefault="001A0649" w:rsidP="001A06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[20] A. Khan, X. Yan, S. Tao, and N. Anerousis. Work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load characterization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and predictio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n in the cloud: A multiple time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series approach. In Ne</w:t>
      </w:r>
      <w:r w:rsidRPr="007506AD">
        <w:rPr>
          <w:rFonts w:ascii="Times New Roman" w:eastAsia="Calibri" w:hAnsi="Times New Roman"/>
          <w:sz w:val="24"/>
          <w:szCs w:val="24"/>
          <w:lang w:eastAsia="en-IN"/>
        </w:rPr>
        <w:t xml:space="preserve">twork Operations and Management </w:t>
      </w:r>
      <w:r w:rsidRPr="007506AD">
        <w:rPr>
          <w:rFonts w:ascii="Times New Roman" w:eastAsia="Calibri" w:hAnsi="Times New Roman" w:cs="Times New Roman"/>
          <w:sz w:val="24"/>
          <w:szCs w:val="24"/>
          <w:lang w:eastAsia="en-IN"/>
        </w:rPr>
        <w:t>Symposium (NOMS), 2012 IEEE, pages 1287–1294.</w:t>
      </w:r>
    </w:p>
    <w:p w:rsidR="001A0649" w:rsidRPr="00D04798" w:rsidRDefault="001A0649" w:rsidP="001A0649">
      <w:pPr>
        <w:rPr>
          <w:szCs w:val="24"/>
        </w:rPr>
      </w:pPr>
    </w:p>
    <w:p w:rsidR="001A0649" w:rsidRDefault="001A0649"/>
    <w:sectPr w:rsidR="001A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0649"/>
    <w:rsid w:val="001A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ketsandmarkets.com/Market-Reports/" TargetMode="External"/><Relationship Id="rId5" Type="http://schemas.openxmlformats.org/officeDocument/2006/relationships/hyperlink" Target="http://aws.amazon.com/ec2/" TargetMode="External"/><Relationship Id="rId4" Type="http://schemas.openxmlformats.org/officeDocument/2006/relationships/hyperlink" Target="http://aws.amazon.com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venkatjavaproject@gmail.com</dc:creator>
  <cp:keywords/>
  <dc:description/>
  <cp:lastModifiedBy>venkatjavaproject@gmail.com</cp:lastModifiedBy>
  <cp:revision>2</cp:revision>
  <dcterms:created xsi:type="dcterms:W3CDTF">2019-09-29T01:41:00Z</dcterms:created>
  <dcterms:modified xsi:type="dcterms:W3CDTF">2019-09-29T01:45:00Z</dcterms:modified>
</cp:coreProperties>
</file>