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56"/>
        </w:rPr>
        <w:t>BREAKDOWN ANALYSIS REPORT</w:t>
      </w:r>
    </w:p>
    <w:p>
      <w:pPr>
        <w:jc w:val="center"/>
      </w:pPr>
      <w:r>
        <w:rPr>
          <w:color w:val="2E75B6"/>
          <w:sz w:val="32"/>
        </w:rPr>
        <w:t>Technomatic 2 Production Line [1455C]</w:t>
      </w:r>
    </w:p>
    <w:p>
      <w:pPr>
        <w:jc w:val="center"/>
      </w:pPr>
      <w:r>
        <w:rPr>
          <w:i/>
          <w:color w:val="595959"/>
          <w:sz w:val="26"/>
        </w:rPr>
        <w:t>Visual Diagnostic Edition — 16 Charts · 7-Step Workflow</w:t>
      </w:r>
    </w:p>
    <w:p/>
    <w:p/>
    <w:tbl>
      <w:tblPr>
        <w:tblW w:type="auto" w:w="0"/>
        <w:jc w:val="center"/>
        <w:tblLook w:firstColumn="1" w:firstRow="1" w:lastColumn="0" w:lastRow="0" w:noHBand="0" w:noVBand="1" w:val="04A0"/>
      </w:tblPr>
      <w:tblGrid>
        <w:gridCol w:w="4819"/>
        <w:gridCol w:w="4819"/>
      </w:tblGrid>
      <w:tr>
        <w:tc>
          <w:tcPr>
            <w:tcW w:type="dxa" w:w="3402"/>
          </w:tcPr>
          <w:p>
            <w:pPr>
              <w:jc w:val="right"/>
            </w:pPr>
            <w:r/>
            <w:r>
              <w:rPr>
                <w:b/>
                <w:color w:val="1F4E79"/>
                <w:sz w:val="22"/>
              </w:rPr>
              <w:t>Reporting Period</w:t>
            </w:r>
          </w:p>
        </w:tc>
        <w:tc>
          <w:tcPr>
            <w:tcW w:type="dxa" w:w="4535"/>
          </w:tcPr>
          <w:p>
            <w:pPr>
              <w:jc w:val="left"/>
            </w:pPr>
            <w:r/>
            <w:r>
              <w:rPr>
                <w:sz w:val="22"/>
              </w:rPr>
              <w:t>01-Jan-2026 to 30-Jul-2026</w:t>
            </w:r>
          </w:p>
        </w:tc>
      </w:tr>
      <w:tr>
        <w:tc>
          <w:tcPr>
            <w:tcW w:type="dxa" w:w="3402"/>
          </w:tcPr>
          <w:p>
            <w:pPr>
              <w:jc w:val="right"/>
            </w:pPr>
            <w:r/>
            <w:r>
              <w:rPr>
                <w:b/>
                <w:color w:val="1F4E79"/>
                <w:sz w:val="22"/>
              </w:rPr>
              <w:t>Total Breakdown Events</w:t>
            </w:r>
          </w:p>
        </w:tc>
        <w:tc>
          <w:tcPr>
            <w:tcW w:type="dxa" w:w="4535"/>
          </w:tcPr>
          <w:p>
            <w:pPr>
              <w:jc w:val="left"/>
            </w:pPr>
            <w:r/>
            <w:r>
              <w:rPr>
                <w:sz w:val="22"/>
              </w:rPr>
              <w:t>380</w:t>
            </w:r>
          </w:p>
        </w:tc>
      </w:tr>
      <w:tr>
        <w:tc>
          <w:tcPr>
            <w:tcW w:type="dxa" w:w="3402"/>
          </w:tcPr>
          <w:p>
            <w:pPr>
              <w:jc w:val="right"/>
            </w:pPr>
            <w:r/>
            <w:r>
              <w:rPr>
                <w:b/>
                <w:color w:val="1F4E79"/>
                <w:sz w:val="22"/>
              </w:rPr>
              <w:t>Total Downtime</w:t>
            </w:r>
          </w:p>
        </w:tc>
        <w:tc>
          <w:tcPr>
            <w:tcW w:type="dxa" w:w="4535"/>
          </w:tcPr>
          <w:p>
            <w:pPr>
              <w:jc w:val="left"/>
            </w:pPr>
            <w:r/>
            <w:r>
              <w:rPr>
                <w:sz w:val="22"/>
              </w:rPr>
              <w:t>106.63 hours (6398 minutes)</w:t>
            </w:r>
          </w:p>
        </w:tc>
      </w:tr>
      <w:tr>
        <w:tc>
          <w:tcPr>
            <w:tcW w:type="dxa" w:w="3402"/>
          </w:tcPr>
          <w:p>
            <w:pPr>
              <w:jc w:val="right"/>
            </w:pPr>
            <w:r/>
            <w:r>
              <w:rPr>
                <w:b/>
                <w:color w:val="1F4E79"/>
                <w:sz w:val="22"/>
              </w:rPr>
              <w:t>Report Generated</w:t>
            </w:r>
          </w:p>
        </w:tc>
        <w:tc>
          <w:tcPr>
            <w:tcW w:type="dxa" w:w="4535"/>
          </w:tcPr>
          <w:p>
            <w:pPr>
              <w:jc w:val="left"/>
            </w:pPr>
            <w:r/>
            <w:r>
              <w:rPr>
                <w:sz w:val="22"/>
              </w:rPr>
              <w:t>30-Jul-2026</w:t>
            </w:r>
          </w:p>
        </w:tc>
      </w:tr>
    </w:tbl>
    <w:p/>
    <w:p/>
    <w:p/>
    <w:p/>
    <w:p/>
    <w:p/>
    <w:p/>
    <w:p/>
    <w:p>
      <w:pPr>
        <w:jc w:val="center"/>
      </w:pPr>
      <w:r>
        <w:rPr>
          <w:color w:val="7F7F7F"/>
          <w:sz w:val="20"/>
        </w:rPr>
        <w:t>Prepared by: Data Analytics Team</w:t>
      </w:r>
    </w:p>
    <w:p>
      <w:pPr>
        <w:sectPr>
          <w:headerReference w:type="default" r:id="rId11"/>
          <w:footerReference w:type="default" r:id="rId12"/>
          <w:pgSz w:w="11906" w:h="16838"/>
          <w:pgMar w:top="1417" w:right="1134" w:bottom="1417" w:left="1134" w:header="720" w:footer="720" w:gutter="0"/>
          <w:cols w:space="720"/>
          <w:docGrid w:linePitch="360"/>
        </w:sectPr>
      </w:pPr>
    </w:p>
    <w:p>
      <w:pPr>
        <w:spacing w:after="200"/>
        <w:jc w:val="left"/>
      </w:pPr>
      <w:r>
        <w:rPr>
          <w:b/>
          <w:i w:val="0"/>
          <w:color w:val="1F4E79"/>
          <w:sz w:val="36"/>
        </w:rPr>
        <w:t>Table of Contents</w:t>
      </w:r>
    </w:p>
    <w:p>
      <w:r>
        <w:fldChar w:fldCharType="begin"/>
        <w:instrText xml:space="preserve">TOC \o "1-3" \h \z \u</w:instrText>
        <w:fldChar w:fldCharType="separate"/>
        <w:t>Right-click and select "Update Field" to refresh the Table of Contents.</w:t>
        <w:fldChar w:fldCharType="end"/>
      </w:r>
    </w:p>
    <w:p>
      <w:r>
        <w:br w:type="page"/>
      </w:r>
    </w:p>
    <w:p>
      <w:pPr>
        <w:pStyle w:val="Heading1"/>
      </w:pPr>
      <w:r>
        <w:t>Executive Summary</w:t>
      </w:r>
    </w:p>
    <w:p>
      <w:pPr>
        <w:spacing w:after="120"/>
        <w:jc w:val="both"/>
      </w:pPr>
      <w:r>
        <w:rPr>
          <w:b w:val="0"/>
          <w:i w:val="0"/>
          <w:sz w:val="22"/>
        </w:rPr>
        <w:t>This report presents a comprehensive visual and statistical diagnostic of machine breakdown events on the Technomatic 2 production line (machine code 1455C) over a seven-month window from 01-Jan-2026 to 30-Jul-2026. The dataset comprises 380 individual breakdown events aggregating to 106.63 hours of unplanned downtime, with an average of 16.8 minutes lost per event (median 10 min). This Visual Diagnostic Edition embeds sixteen charts — combination bars, Pareto, heatmaps, donut, radar, scatter, funnel, cumulative area, and stacked compositions — distributed across the seven-step analytical workflow to give readers multiple complementary lenses on the same underlying evidence. The distribution of loss is heavily skewed: just 5% of events (the longest 19 breakdowns) account for 30.0% of all downtime hours, and three workstations alone contribute nearly 71% of total lost time.</w:t>
      </w:r>
    </w:p>
    <w:p>
      <w:pPr>
        <w:spacing w:after="80"/>
        <w:jc w:val="left"/>
      </w:pPr>
      <w:r>
        <w:rPr>
          <w:b/>
          <w:i w:val="0"/>
          <w:color w:val="1F4E79"/>
          <w:sz w:val="24"/>
        </w:rPr>
        <w:t>Key Findings (Top 5)</w:t>
      </w:r>
    </w:p>
    <w:p>
      <w:pPr>
        <w:pStyle w:val="ListBullet"/>
        <w:spacing w:after="80"/>
      </w:pPr>
      <w:r>
        <w:rPr>
          <w:b/>
          <w:sz w:val="22"/>
        </w:rPr>
        <w:t xml:space="preserve">Station 85 is the dominant loss hotspot — </w:t>
      </w:r>
      <w:r>
        <w:rPr>
          <w:sz w:val="22"/>
        </w:rPr>
        <w:t xml:space="preserve"> generating 120 events (31.6% of total) and 42.53 hours of downtime — 39.9% of all lost production time. Eight of the ten longest breakdowns occurred at this station.</w:t>
      </w:r>
    </w:p>
    <w:p>
      <w:pPr>
        <w:pStyle w:val="ListBullet"/>
        <w:spacing w:after="80"/>
      </w:pPr>
      <w:r>
        <w:rPr>
          <w:b/>
          <w:sz w:val="22"/>
        </w:rPr>
        <w:t xml:space="preserve">Electrical and Mechanical fault categories dominate — </w:t>
      </w:r>
      <w:r>
        <w:rPr>
          <w:sz w:val="22"/>
        </w:rPr>
        <w:t xml:space="preserve"> together producing 86.85 hours (81.5% of total downtime). Electrical faults are the most frequent (133 events), but Mechanical faults produce the longest single outage (219 min).</w:t>
      </w:r>
    </w:p>
    <w:p>
      <w:pPr>
        <w:pStyle w:val="ListBullet"/>
        <w:spacing w:after="80"/>
      </w:pPr>
      <w:r>
        <w:rPr>
          <w:b/>
          <w:sz w:val="22"/>
        </w:rPr>
        <w:t xml:space="preserve">A screwing-system failure cluster is the leading fault family — </w:t>
      </w:r>
      <w:r>
        <w:rPr>
          <w:sz w:val="22"/>
        </w:rPr>
        <w:t xml:space="preserve"> "Screwing not start / NOK / Not OK" appears 43 times and the broader screwing-related theme covers 75 events (19.7%) and 25.65 downtime hours (24.1%).</w:t>
      </w:r>
    </w:p>
    <w:p>
      <w:pPr>
        <w:pStyle w:val="ListBullet"/>
        <w:spacing w:after="80"/>
      </w:pPr>
      <w:r>
        <w:rPr>
          <w:b/>
          <w:sz w:val="22"/>
        </w:rPr>
        <w:t xml:space="preserve">June was a high-variance month — </w:t>
      </w:r>
      <w:r>
        <w:rPr>
          <w:sz w:val="22"/>
        </w:rPr>
        <w:t xml:space="preserve"> June recorded 19.02 downtime hours from 48 events (mean 23.8 min/event — the worst monthly mean), a 92.1% MoM jump in downtime versus May, driven by 5 events ≥60 min versus only 2 in May.</w:t>
      </w:r>
    </w:p>
    <w:p>
      <w:pPr>
        <w:pStyle w:val="ListBullet"/>
        <w:spacing w:after="80"/>
      </w:pPr>
      <w:r>
        <w:rPr>
          <w:b/>
          <w:sz w:val="22"/>
        </w:rPr>
        <w:t xml:space="preserve">Data-quality concern: 94 events </w:t>
      </w:r>
      <w:r>
        <w:rPr>
          <w:sz w:val="22"/>
        </w:rPr>
        <w:t xml:space="preserve"> (24.7% of all records) were logged with 00:00:00 actual time, distorting MTTR and inflating event counts.</w:t>
      </w:r>
    </w:p>
    <w:p>
      <w:pPr>
        <w:spacing w:after="80"/>
        <w:jc w:val="left"/>
      </w:pPr>
      <w:r>
        <w:rPr>
          <w:b/>
          <w:i w:val="0"/>
          <w:color w:val="1F4E79"/>
          <w:sz w:val="24"/>
        </w:rPr>
        <w:t>Headline Recommendations (Summary)</w:t>
      </w:r>
    </w:p>
    <w:p>
      <w:pPr>
        <w:pStyle w:val="ListBullet"/>
        <w:spacing w:after="80"/>
      </w:pPr>
      <w:r>
        <w:rPr>
          <w:b/>
          <w:sz w:val="22"/>
        </w:rPr>
        <w:t xml:space="preserve">P1: Launch a Station 85 deep-dive </w:t>
      </w:r>
      <w:r>
        <w:rPr>
          <w:sz w:val="22"/>
        </w:rPr>
        <w:t xml:space="preserve"> — focused RCFA on screwing gun, camera check, and poka-yoke logic at Station 85, targeting a 40% reduction in event count.</w:t>
      </w:r>
    </w:p>
    <w:p>
      <w:pPr>
        <w:pStyle w:val="ListBullet"/>
        <w:spacing w:after="80"/>
      </w:pPr>
      <w:r>
        <w:rPr>
          <w:b/>
          <w:sz w:val="22"/>
        </w:rPr>
        <w:t xml:space="preserve">P1: Stand up a "Screwing Reliability" improvement cell </w:t>
      </w:r>
      <w:r>
        <w:rPr>
          <w:sz w:val="22"/>
        </w:rPr>
        <w:t xml:space="preserve"> — implement torque-bit lifecycle tracking, scheduled bit replacement, and pre-start screw-gun function checks across screwing stations.</w:t>
      </w:r>
    </w:p>
    <w:p>
      <w:pPr>
        <w:pStyle w:val="ListBullet"/>
        <w:spacing w:after="80"/>
      </w:pPr>
      <w:r>
        <w:rPr>
          <w:b/>
          <w:sz w:val="22"/>
        </w:rPr>
        <w:t xml:space="preserve">P2: Maintenance data-capture reform </w:t>
      </w:r>
      <w:r>
        <w:rPr>
          <w:sz w:val="22"/>
        </w:rPr>
        <w:t xml:space="preserve"> — enforce mandatory Actual_Time entry, separate "Planned Maintenance" from breakdown records, and add a 0-minute exception flag.</w:t>
      </w:r>
    </w:p>
    <w:p>
      <w:r>
        <w:br w:type="page"/>
      </w:r>
    </w:p>
    <w:p>
      <w:pPr>
        <w:pStyle w:val="Heading1"/>
      </w:pPr>
      <w:r>
        <w:t>1. Scope &amp; Definitions</w:t>
      </w:r>
    </w:p>
    <w:p>
      <w:pPr>
        <w:pStyle w:val="Heading2"/>
      </w:pPr>
      <w:r>
        <w:t>1.1 Objective</w:t>
      </w:r>
    </w:p>
    <w:p>
      <w:pPr>
        <w:spacing w:after="120"/>
        <w:jc w:val="both"/>
      </w:pPr>
      <w:r>
        <w:rPr>
          <w:b w:val="0"/>
          <w:i w:val="0"/>
          <w:sz w:val="22"/>
        </w:rPr>
        <w:t>The objective of this analysis is to diagnose the root pattern of machine breakdowns on the Technomatic 2 line over the first seven months of 2026 and to translate that diagnosis into a prioritized, evidence-based action plan. The analysis identifies which workstations, fault types, and fault themes drive the majority of unplanned downtime; characterizes the temporal and shift-level patterns of failures; quantifies month-over-month variance and isolates its drivers; and surfaces data-quality issues that may be obscuring the true reliability picture. The deliverable is intended for the plant maintenance manager, production line lead, and reliability engineering team, and supports both immediate tactical decisions (next 30 days) and a medium-term reliability roadmap (next 90 days).</w:t>
      </w:r>
    </w:p>
    <w:p>
      <w:pPr>
        <w:pStyle w:val="Heading2"/>
      </w:pPr>
      <w:r>
        <w:t>1.2 Key Metrics</w:t>
      </w:r>
    </w:p>
    <w:p>
      <w:pPr>
        <w:spacing w:after="120"/>
        <w:jc w:val="both"/>
      </w:pPr>
      <w:r>
        <w:rPr>
          <w:b w:val="0"/>
          <w:i w:val="0"/>
          <w:sz w:val="22"/>
        </w:rPr>
        <w:t>Five core metrics anchor the analysis. Each metric is defined precisely to avoid ambiguity when interpreting the results, and each is computed at multiple grains (event, station, monthly, weekly) to support both tactical and strategic reads.</w:t>
      </w:r>
    </w:p>
    <w:tbl>
      <w:tblPr>
        <w:tblW w:type="auto" w:w="0"/>
        <w:jc w:val="center"/>
        <w:tblLayout w:type="fixed"/>
        <w:tblLook w:firstColumn="1" w:firstRow="1" w:lastColumn="0" w:lastRow="0" w:noHBand="0" w:noVBand="1" w:val="04A0"/>
      </w:tblPr>
      <w:tblGrid>
        <w:gridCol w:w="3213"/>
        <w:gridCol w:w="3213"/>
        <w:gridCol w:w="3213"/>
      </w:tblGrid>
      <w:tr>
        <w:tc>
          <w:tcPr>
            <w:tcW w:type="dxa" w:w="255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Metric</w:t>
            </w:r>
          </w:p>
        </w:tc>
        <w:tc>
          <w:tcPr>
            <w:tcW w:type="dxa" w:w="4535"/>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Definition</w:t>
            </w:r>
          </w:p>
        </w:tc>
        <w:tc>
          <w:tcPr>
            <w:tcW w:type="dxa" w:w="198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Granularity</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Breakdown Event Count</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Each row in the breakdown log representing one fault occurrence (one Br_Slip_No)</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Event / Station / Month / Week</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Total Downtime (hrs)</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Sum of Actual_Time across events, converted from HH:MM:SS to hours</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Station / Fault Type / Month</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Mean Downtime per Event (min)</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Average Actual_Time per event — proxy for repair complexity / MTTR</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Station / Fault Type / Month</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Event Frequency Rate</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Events per operating day (proxy for MTBF inverse)</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Monthly / Weekly</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Zero-Downtime Event Ratio</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Share of events logged with 00:00:00 actual time — data quality indicator</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Monthly / Station</w:t>
            </w:r>
          </w:p>
        </w:tc>
      </w:tr>
    </w:tbl>
    <w:p>
      <w:pPr>
        <w:pStyle w:val="Heading2"/>
      </w:pPr>
      <w:r>
        <w:t>1.3 Time Range &amp; Granularity</w:t>
      </w:r>
    </w:p>
    <w:p>
      <w:pPr>
        <w:spacing w:after="120"/>
        <w:jc w:val="both"/>
      </w:pPr>
      <w:r>
        <w:rPr>
          <w:b w:val="0"/>
          <w:i w:val="0"/>
          <w:sz w:val="22"/>
        </w:rPr>
        <w:t>The reporting window spans 01-Jan-2026 through 30-Jul-2026, covering 30 calendar weeks (ISO weeks W01 through W31 of 2026). Analysis is performed at three temporal grains: monthly (7 buckets) for trend and MoM variance attribution, weekly (31 buckets) for short-cycle WoW monitoring and outlier detection, and event-level for distribution, station-level, and fault-theme diagnostics. Hour-of-day and weekday breakdowns surface shift and crew-related patterns. Note that the source log was extracted on 30-Jul-2026, so July figures are nearly complete (30 of 31 days) but not a full month; readers should treat July as approximately final rather than fully closed. No prior-year (2025) comparison data was available, so YoY analysis is not possible and is flagged as a gap in Section 7.</w:t>
      </w:r>
    </w:p>
    <w:p>
      <w:pPr>
        <w:pStyle w:val="Heading2"/>
      </w:pPr>
      <w:r>
        <w:t>1.4 Boundary &amp; Definitions</w:t>
      </w:r>
    </w:p>
    <w:p>
      <w:pPr>
        <w:spacing w:after="120"/>
        <w:jc w:val="both"/>
      </w:pPr>
      <w:r>
        <w:rPr>
          <w:b w:val="0"/>
          <w:i w:val="0"/>
          <w:sz w:val="22"/>
        </w:rPr>
        <w:t>The dataset is restricted to a single production line (Technomatic 2, machine code 1455C) and includes all breakdown events logged against that line regardless of which workstation generated them. "Breakdown" is defined as any unplanned interruption or fault registered in the breakdown history log, ranging from a brief restart (0-minute logged time) to a multi-hour repair. "Planned Maintenance" events are included in the raw data but are reported separately where relevant, since they represent scheduled work rather than unplanned downtime. Faults are categorized by the maintenance team into nine Fault_Type labels: Electrical, Mechanical, Production, Planned Maintenance, Process_IE, Others, Electronics, Fixture, and Quality. The "MECH_No" field identifies the physical workstation; this field required normalization because the source contains inconsistent prefixes such as "Line 2 Station 85", "T2-Station 85", and "Station 85" all referring to the same asset.</w:t>
      </w:r>
    </w:p>
    <w:p>
      <w:r>
        <w:br w:type="page"/>
      </w:r>
    </w:p>
    <w:p>
      <w:pPr>
        <w:pStyle w:val="Heading1"/>
      </w:pPr>
      <w:r>
        <w:t>2. Data Quality Checks</w:t>
      </w:r>
    </w:p>
    <w:p>
      <w:pPr>
        <w:pStyle w:val="Heading2"/>
      </w:pPr>
      <w:r>
        <w:t>2.1 Source Profile</w:t>
      </w:r>
    </w:p>
    <w:p>
      <w:pPr>
        <w:spacing w:after="120"/>
        <w:jc w:val="both"/>
      </w:pPr>
      <w:r>
        <w:rPr>
          <w:b w:val="0"/>
          <w:i w:val="0"/>
          <w:sz w:val="22"/>
        </w:rPr>
        <w:t>The source file BreakDownDetails30-07-2026.xlsx contained one populated worksheet (Sheet1) with a report header block (rows 1–5), a column header row (row 6), 385 data rows, and a signature block at the bottom. After dropping header/footer/signature rows and applying a date-format filter, the analytical dataset contains 380 valid breakdown events across 12 fields. Two empty worksheets (Sheet2, Sheet3) were ignored. The raw file also contained three trailing "Unnamed" columns that were entirely null and were dropped during ingestion.</w:t>
      </w:r>
    </w:p>
    <w:p>
      <w:pPr>
        <w:pStyle w:val="Heading2"/>
      </w:pPr>
      <w:r>
        <w:t>2.2 Cleaning Rules Applied</w:t>
      </w:r>
    </w:p>
    <w:p>
      <w:pPr>
        <w:spacing w:after="120"/>
        <w:jc w:val="both"/>
      </w:pPr>
      <w:r>
        <w:rPr>
          <w:b w:val="0"/>
          <w:i w:val="0"/>
          <w:sz w:val="22"/>
        </w:rPr>
        <w:t>Five cleaning and normalization rules were applied in sequence. Each rule is documented so that the pipeline is reproducible and so that downstream consumers can understand the gap between the raw log and the figures in this report.</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56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w:t>
            </w:r>
          </w:p>
        </w:tc>
        <w:tc>
          <w:tcPr>
            <w:tcW w:type="dxa" w:w="4252"/>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Rule</w:t>
            </w:r>
          </w:p>
        </w:tc>
        <w:tc>
          <w:tcPr>
            <w:tcW w:type="dxa" w:w="141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Rows Affected</w:t>
            </w:r>
          </w:p>
        </w:tc>
        <w:tc>
          <w:tcPr>
            <w:tcW w:type="dxa" w:w="2835"/>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Rationale</w:t>
            </w:r>
          </w:p>
        </w:tc>
      </w:tr>
      <w:tr>
        <w:tc>
          <w:tcPr>
            <w:tcW w:type="dxa" w:w="567"/>
            <w:tcBorders>
              <w:top w:val="single" w:sz="4" w:color="BFBFBF"/>
              <w:left w:val="single" w:sz="4" w:color="BFBFBF"/>
              <w:bottom w:val="single" w:sz="4" w:color="BFBFBF"/>
              <w:right w:val="single" w:sz="4" w:color="BFBFBF"/>
            </w:tcBorders>
            <w:vAlign w:val="center"/>
          </w:tcPr>
          <w:p>
            <w:pPr>
              <w:jc w:val="left"/>
            </w:pPr>
            <w:r/>
            <w:r>
              <w:rPr>
                <w:sz w:val="19"/>
              </w:rPr>
              <w:t>1</w:t>
            </w:r>
          </w:p>
        </w:tc>
        <w:tc>
          <w:tcPr>
            <w:tcW w:type="dxa" w:w="4252"/>
            <w:tcBorders>
              <w:top w:val="single" w:sz="4" w:color="BFBFBF"/>
              <w:left w:val="single" w:sz="4" w:color="BFBFBF"/>
              <w:bottom w:val="single" w:sz="4" w:color="BFBFBF"/>
              <w:right w:val="single" w:sz="4" w:color="BFBFBF"/>
            </w:tcBorders>
            <w:vAlign w:val="center"/>
          </w:tcPr>
          <w:p>
            <w:pPr>
              <w:jc w:val="center"/>
            </w:pPr>
            <w:r/>
            <w:r>
              <w:rPr>
                <w:sz w:val="19"/>
              </w:rPr>
              <w:t>Drop rows where Br_Date does not match "D-Mon-2026"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5</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Removes signature block rows that survived header-row ingestion</w:t>
            </w:r>
          </w:p>
        </w:tc>
      </w:tr>
      <w:tr>
        <w:tc>
          <w:tcPr>
            <w:tcW w:type="dxa" w:w="567"/>
            <w:tcBorders>
              <w:top w:val="single" w:sz="4" w:color="BFBFBF"/>
              <w:left w:val="single" w:sz="4" w:color="BFBFBF"/>
              <w:bottom w:val="single" w:sz="4" w:color="BFBFBF"/>
              <w:right w:val="single" w:sz="4" w:color="BFBFBF"/>
            </w:tcBorders>
            <w:vAlign w:val="center"/>
          </w:tcPr>
          <w:p>
            <w:pPr>
              <w:jc w:val="left"/>
            </w:pPr>
            <w:r/>
            <w:r>
              <w:rPr>
                <w:sz w:val="19"/>
              </w:rPr>
              <w:t>2</w:t>
            </w:r>
          </w:p>
        </w:tc>
        <w:tc>
          <w:tcPr>
            <w:tcW w:type="dxa" w:w="4252"/>
            <w:tcBorders>
              <w:top w:val="single" w:sz="4" w:color="BFBFBF"/>
              <w:left w:val="single" w:sz="4" w:color="BFBFBF"/>
              <w:bottom w:val="single" w:sz="4" w:color="BFBFBF"/>
              <w:right w:val="single" w:sz="4" w:color="BFBFBF"/>
            </w:tcBorders>
            <w:vAlign w:val="center"/>
          </w:tcPr>
          <w:p>
            <w:pPr>
              <w:jc w:val="center"/>
            </w:pPr>
            <w:r/>
            <w:r>
              <w:rPr>
                <w:sz w:val="19"/>
              </w:rPr>
              <w:t>Parse Br_Date and Completion_Date as datetime (format %d-%b-%Y)</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All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Enables time-series, MoM, and weekday analysis</w:t>
            </w:r>
          </w:p>
        </w:tc>
      </w:tr>
      <w:tr>
        <w:tc>
          <w:tcPr>
            <w:tcW w:type="dxa" w:w="567"/>
            <w:tcBorders>
              <w:top w:val="single" w:sz="4" w:color="BFBFBF"/>
              <w:left w:val="single" w:sz="4" w:color="BFBFBF"/>
              <w:bottom w:val="single" w:sz="4" w:color="BFBFBF"/>
              <w:right w:val="single" w:sz="4" w:color="BFBFBF"/>
            </w:tcBorders>
            <w:vAlign w:val="center"/>
          </w:tcPr>
          <w:p>
            <w:pPr>
              <w:jc w:val="left"/>
            </w:pPr>
            <w:r/>
            <w:r>
              <w:rPr>
                <w:sz w:val="19"/>
              </w:rPr>
              <w:t>3</w:t>
            </w:r>
          </w:p>
        </w:tc>
        <w:tc>
          <w:tcPr>
            <w:tcW w:type="dxa" w:w="4252"/>
            <w:tcBorders>
              <w:top w:val="single" w:sz="4" w:color="BFBFBF"/>
              <w:left w:val="single" w:sz="4" w:color="BFBFBF"/>
              <w:bottom w:val="single" w:sz="4" w:color="BFBFBF"/>
              <w:right w:val="single" w:sz="4" w:color="BFBFBF"/>
            </w:tcBorders>
            <w:vAlign w:val="center"/>
          </w:tcPr>
          <w:p>
            <w:pPr>
              <w:jc w:val="center"/>
            </w:pPr>
            <w:r/>
            <w:r>
              <w:rPr>
                <w:sz w:val="19"/>
              </w:rPr>
              <w:t>Convert Actual_Time (HH:MM:SS) to Downtime_Min (float)</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All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Enables numeric aggregation, mean/median, severity bucketing</w:t>
            </w:r>
          </w:p>
        </w:tc>
      </w:tr>
      <w:tr>
        <w:tc>
          <w:tcPr>
            <w:tcW w:type="dxa" w:w="567"/>
            <w:tcBorders>
              <w:top w:val="single" w:sz="4" w:color="BFBFBF"/>
              <w:left w:val="single" w:sz="4" w:color="BFBFBF"/>
              <w:bottom w:val="single" w:sz="4" w:color="BFBFBF"/>
              <w:right w:val="single" w:sz="4" w:color="BFBFBF"/>
            </w:tcBorders>
            <w:vAlign w:val="center"/>
          </w:tcPr>
          <w:p>
            <w:pPr>
              <w:jc w:val="left"/>
            </w:pPr>
            <w:r/>
            <w:r>
              <w:rPr>
                <w:sz w:val="19"/>
              </w:rPr>
              <w:t>4</w:t>
            </w:r>
          </w:p>
        </w:tc>
        <w:tc>
          <w:tcPr>
            <w:tcW w:type="dxa" w:w="4252"/>
            <w:tcBorders>
              <w:top w:val="single" w:sz="4" w:color="BFBFBF"/>
              <w:left w:val="single" w:sz="4" w:color="BFBFBF"/>
              <w:bottom w:val="single" w:sz="4" w:color="BFBFBF"/>
              <w:right w:val="single" w:sz="4" w:color="BFBFBF"/>
            </w:tcBorders>
            <w:vAlign w:val="center"/>
          </w:tcPr>
          <w:p>
            <w:pPr>
              <w:jc w:val="center"/>
            </w:pPr>
            <w:r/>
            <w:r>
              <w:rPr>
                <w:sz w:val="19"/>
              </w:rPr>
              <w:t>Normalize MECH_No: extract "Station N" via regex on "Station\s*\d+"</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All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Reconciles inconsistent prefixes to a single canonical station label</w:t>
            </w:r>
          </w:p>
        </w:tc>
      </w:tr>
      <w:tr>
        <w:tc>
          <w:tcPr>
            <w:tcW w:type="dxa" w:w="567"/>
            <w:tcBorders>
              <w:top w:val="single" w:sz="4" w:color="BFBFBF"/>
              <w:left w:val="single" w:sz="4" w:color="BFBFBF"/>
              <w:bottom w:val="single" w:sz="4" w:color="BFBFBF"/>
              <w:right w:val="single" w:sz="4" w:color="BFBFBF"/>
            </w:tcBorders>
            <w:vAlign w:val="center"/>
          </w:tcPr>
          <w:p>
            <w:pPr>
              <w:jc w:val="left"/>
            </w:pPr>
            <w:r/>
            <w:r>
              <w:rPr>
                <w:sz w:val="19"/>
              </w:rPr>
              <w:t>5</w:t>
            </w:r>
          </w:p>
        </w:tc>
        <w:tc>
          <w:tcPr>
            <w:tcW w:type="dxa" w:w="4252"/>
            <w:tcBorders>
              <w:top w:val="single" w:sz="4" w:color="BFBFBF"/>
              <w:left w:val="single" w:sz="4" w:color="BFBFBF"/>
              <w:bottom w:val="single" w:sz="4" w:color="BFBFBF"/>
              <w:right w:val="single" w:sz="4" w:color="BFBFBF"/>
            </w:tcBorders>
            <w:vAlign w:val="center"/>
          </w:tcPr>
          <w:p>
            <w:pPr>
              <w:jc w:val="center"/>
            </w:pPr>
            <w:r/>
            <w:r>
              <w:rPr>
                <w:sz w:val="19"/>
              </w:rPr>
              <w:t>Fill missing Fault_Type with "Unspecified"</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2</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Preserves events in fault-type analytics while flagging incomplete classification</w:t>
            </w:r>
          </w:p>
        </w:tc>
      </w:tr>
    </w:tbl>
    <w:p>
      <w:pPr>
        <w:pStyle w:val="Heading2"/>
      </w:pPr>
      <w:r>
        <w:t>2.3 Coverage &amp; Missingness</w:t>
      </w:r>
    </w:p>
    <w:p>
      <w:pPr>
        <w:spacing w:after="120"/>
        <w:jc w:val="both"/>
      </w:pPr>
      <w:r>
        <w:rPr>
          <w:b w:val="0"/>
          <w:i w:val="0"/>
          <w:sz w:val="22"/>
        </w:rPr>
        <w:t>Coverage is strong on the core analytical fields: Br_Date, Station, Fault_Type, and Actual_Time are populated on 100% of retained rows after cleaning. The Action field is the weakest qualitative field — many entries are truncated (e.g., "Check screwing not ok so resta…") or read simply "-Not informed." which limits root-cause text mining. The Fault_Desc field is free-text and inconsistently cased; a case-normalized, whitespace-collapsed version was derived for theme analysis. No duplicate Br_Slip_No values were detected, confirming each row represents a distinct breakdown ticket.</w:t>
      </w:r>
    </w:p>
    <w:p>
      <w:pPr>
        <w:pStyle w:val="Heading2"/>
      </w:pPr>
      <w:r>
        <w:t>2.4 Data Quality Concerns</w:t>
      </w:r>
    </w:p>
    <w:p>
      <w:pPr>
        <w:spacing w:after="120"/>
        <w:jc w:val="both"/>
      </w:pPr>
      <w:r>
        <w:rPr>
          <w:b w:val="0"/>
          <w:i w:val="0"/>
          <w:sz w:val="22"/>
        </w:rPr>
        <w:t>Two material data-quality concerns were identified. First, 94 of 380 events (24.7%) were logged with an Actual_Time of 00:00:00, meaning the maintenance technician recorded no measurable downtime. While a subset are legitimate quick-restart events, the volume (nearly one in four records) is too high to be entirely genuine and suggests either a data-entry shortcut or a logging process that captures fault tickets even when no actual production stop occurred. Both interpretations distort MTTR calculations and inflate event counts. Second, 23 "Planned Maintenance" events are mixed into the same log as unplanned breakdowns and are recorded with zero downtime by design; these should be tracked in a separate register so that breakdown KPIs reflect unplanned losses only.</w:t>
      </w:r>
    </w:p>
    <w:p>
      <w:r>
        <w:br w:type="page"/>
      </w:r>
    </w:p>
    <w:p>
      <w:pPr>
        <w:pStyle w:val="Heading1"/>
      </w:pPr>
      <w:r>
        <w:t>3. Core Performance</w:t>
      </w:r>
    </w:p>
    <w:p>
      <w:pPr>
        <w:pStyle w:val="Heading2"/>
      </w:pPr>
      <w:r>
        <w:t>3.1 Headline Performance Indicators</w:t>
      </w:r>
    </w:p>
    <w:p>
      <w:pPr>
        <w:spacing w:after="120"/>
        <w:jc w:val="both"/>
      </w:pPr>
      <w:r>
        <w:rPr>
          <w:b w:val="0"/>
          <w:i w:val="0"/>
          <w:sz w:val="22"/>
        </w:rPr>
        <w:t>Across the seven-month window, the Technomatic 2 line recorded 380 breakdown events totaling 106.63 hours of unplanned downtime. The mean downtime per event is 16.8 minutes, but the median is only 10 minutes, and the standard deviation is 24.7 minutes — indicating a heavily right-skewed distribution where a small number of long-tail events pull the mean well above the typical experience. The longest single event was 219 minutes (3 h 39 min), caused by an "OIL NOT COME" fault at Station 85 on 4-Feb-2026. On a per-month basis, the line averages 54 events and 15.2 downtime hours — equivalent to roughly 914 production minutes lost per month, before accounting for line speed and yield impact.</w:t>
      </w:r>
    </w:p>
    <w:tbl>
      <w:tblPr>
        <w:tblW w:type="auto" w:w="0"/>
        <w:jc w:val="center"/>
        <w:tblLayout w:type="fixed"/>
        <w:tblLook w:firstColumn="1" w:firstRow="1" w:lastColumn="0" w:lastRow="0" w:noHBand="0" w:noVBand="1" w:val="04A0"/>
      </w:tblPr>
      <w:tblGrid>
        <w:gridCol w:w="3213"/>
        <w:gridCol w:w="3213"/>
        <w:gridCol w:w="3213"/>
      </w:tblGrid>
      <w:tr>
        <w:tc>
          <w:tcPr>
            <w:tcW w:type="dxa" w:w="255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KPI</w:t>
            </w:r>
          </w:p>
        </w:tc>
        <w:tc>
          <w:tcPr>
            <w:tcW w:type="dxa" w:w="198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Value</w:t>
            </w:r>
          </w:p>
        </w:tc>
        <w:tc>
          <w:tcPr>
            <w:tcW w:type="dxa" w:w="4535"/>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Interpretation</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Total Breakdown Events</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380</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Tickets logged in breakdown history (Jan–Jul 2026)</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Total Downtime</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106.63 hrs</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Aggregate Actual_Time across all events</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Mean Downtime / Event</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16.8 min</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Skewed by long-tail events; use median for typical case</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Median Downtime / Event</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10 min</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Typical (50th-percentile) breakdown duration</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Max Single Event</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219 min</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OIL NOT COME @ Station 85 on 4-Feb-2026</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Events ≥ 60 min</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20</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5.3% of events but ~30% of downtime (high leverage)</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Zero-Downtime Events</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94 (24.7%)</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Data-quality concern — see Section 2.4</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Distinct Stations Affected</w:t>
            </w:r>
          </w:p>
        </w:tc>
        <w:tc>
          <w:tcPr>
            <w:tcW w:type="dxa" w:w="1984"/>
            <w:tcBorders>
              <w:top w:val="single" w:sz="4" w:color="BFBFBF"/>
              <w:left w:val="single" w:sz="4" w:color="BFBFBF"/>
              <w:bottom w:val="single" w:sz="4" w:color="BFBFBF"/>
              <w:right w:val="single" w:sz="4" w:color="BFBFBF"/>
            </w:tcBorders>
            <w:vAlign w:val="center"/>
          </w:tcPr>
          <w:p>
            <w:pPr>
              <w:jc w:val="center"/>
            </w:pPr>
            <w:r/>
            <w:r>
              <w:rPr>
                <w:sz w:val="19"/>
              </w:rPr>
              <w:t>12</w:t>
            </w:r>
          </w:p>
        </w:tc>
        <w:tc>
          <w:tcPr>
            <w:tcW w:type="dxa" w:w="4535"/>
            <w:tcBorders>
              <w:top w:val="single" w:sz="4" w:color="BFBFBF"/>
              <w:left w:val="single" w:sz="4" w:color="BFBFBF"/>
              <w:bottom w:val="single" w:sz="4" w:color="BFBFBF"/>
              <w:right w:val="single" w:sz="4" w:color="BFBFBF"/>
            </w:tcBorders>
            <w:vAlign w:val="center"/>
          </w:tcPr>
          <w:p>
            <w:pPr>
              <w:jc w:val="center"/>
            </w:pPr>
            <w:r/>
            <w:r>
              <w:rPr>
                <w:sz w:val="19"/>
              </w:rPr>
              <w:t>All 12 workstations on the line experienced at least one fault</w:t>
            </w:r>
          </w:p>
        </w:tc>
      </w:tr>
    </w:tbl>
    <w:p>
      <w:pPr>
        <w:pStyle w:val="Heading2"/>
      </w:pPr>
      <w:r>
        <w:t>3.2 Monthly Trend — Events vs Downtime</w:t>
      </w:r>
    </w:p>
    <w:p>
      <w:pPr>
        <w:spacing w:after="120"/>
        <w:jc w:val="both"/>
      </w:pPr>
      <w:r>
        <w:rPr>
          <w:b w:val="0"/>
          <w:i w:val="0"/>
          <w:sz w:val="22"/>
        </w:rPr>
        <w:t>The monthly combination chart (Figure 3-1) reveals two important patterns. First, event volume does not move in lockstep with downtime hours — May recorded the lowest event count (36) and the lowest downtime (9.9 hrs), but June produced only 12 more events while nearly doubling downtime to 19.0 hrs. This decoupling is the single most important takeaway from the trend chart: counting breakdowns is not the same as measuring breakdown impact, and a reliability program that tracks only event count will miss severity shifts. Second, July saw a sharp rebound in event count (67) but a modest decline in downtime (17.25 hrs) versus June, suggesting the July failures were on average shorter and more frequent — a different failure mode signature than June. March stands out as the best-performing month on a downtime-hours basis (10.52 hrs from 51 events, mean 12.4 min), and its pattern should be studied as a positive reference point.</w:t>
      </w:r>
    </w:p>
    <w:p>
      <w:pPr>
        <w:jc w:val="center"/>
      </w:pPr>
      <w:r>
        <w:drawing>
          <wp:inline xmlns:a="http://schemas.openxmlformats.org/drawingml/2006/main" xmlns:pic="http://schemas.openxmlformats.org/drawingml/2006/picture">
            <wp:extent cx="5580000" cy="3036786"/>
            <wp:docPr id="1" name="Picture 1"/>
            <wp:cNvGraphicFramePr>
              <a:graphicFrameLocks noChangeAspect="1"/>
            </wp:cNvGraphicFramePr>
            <a:graphic>
              <a:graphicData uri="http://schemas.openxmlformats.org/drawingml/2006/picture">
                <pic:pic>
                  <pic:nvPicPr>
                    <pic:cNvPr id="0" name="01_monthly_combo.png"/>
                    <pic:cNvPicPr/>
                  </pic:nvPicPr>
                  <pic:blipFill>
                    <a:blip r:embed="rId13"/>
                    <a:stretch>
                      <a:fillRect/>
                    </a:stretch>
                  </pic:blipFill>
                  <pic:spPr>
                    <a:xfrm>
                      <a:off x="0" y="0"/>
                      <a:ext cx="5580000" cy="3036786"/>
                    </a:xfrm>
                    <a:prstGeom prst="rect"/>
                  </pic:spPr>
                </pic:pic>
              </a:graphicData>
            </a:graphic>
          </wp:inline>
        </w:drawing>
      </w:r>
    </w:p>
    <w:p>
      <w:pPr>
        <w:spacing w:after="200"/>
        <w:jc w:val="center"/>
      </w:pPr>
      <w:r>
        <w:rPr>
          <w:i/>
          <w:color w:val="595959"/>
          <w:sz w:val="19"/>
        </w:rPr>
        <w:t>Figure 3-1: Monthly Breakdown Events vs Total Downtime (Jan–Jul 2026)</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24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Month</w:t>
            </w:r>
          </w:p>
        </w:tc>
        <w:tc>
          <w:tcPr>
            <w:tcW w:type="dxa" w:w="1020"/>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Events</w:t>
            </w:r>
          </w:p>
        </w:tc>
        <w:tc>
          <w:tcPr>
            <w:tcW w:type="dxa" w:w="136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Downtime (hrs)</w:t>
            </w:r>
          </w:p>
        </w:tc>
        <w:tc>
          <w:tcPr>
            <w:tcW w:type="dxa" w:w="113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Mean (min)</w:t>
            </w:r>
          </w:p>
        </w:tc>
        <w:tc>
          <w:tcPr>
            <w:tcW w:type="dxa" w:w="124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0-min Events</w:t>
            </w:r>
          </w:p>
        </w:tc>
        <w:tc>
          <w:tcPr>
            <w:tcW w:type="dxa" w:w="136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Events MoM</w:t>
            </w:r>
          </w:p>
        </w:tc>
        <w:tc>
          <w:tcPr>
            <w:tcW w:type="dxa" w:w="136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Downtime MoM</w:t>
            </w:r>
          </w:p>
        </w:tc>
      </w:tr>
      <w:tr>
        <w:tc>
          <w:tcPr>
            <w:tcW w:type="dxa" w:w="1247"/>
            <w:tcBorders>
              <w:top w:val="single" w:sz="4" w:color="BFBFBF"/>
              <w:left w:val="single" w:sz="4" w:color="BFBFBF"/>
              <w:bottom w:val="single" w:sz="4" w:color="BFBFBF"/>
              <w:right w:val="single" w:sz="4" w:color="BFBFBF"/>
            </w:tcBorders>
            <w:vAlign w:val="center"/>
          </w:tcPr>
          <w:p>
            <w:pPr>
              <w:jc w:val="left"/>
            </w:pPr>
            <w:r/>
            <w:r>
              <w:rPr>
                <w:sz w:val="19"/>
              </w:rPr>
              <w:t>2026-01</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68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18.67</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16.5</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15</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w:t>
            </w:r>
          </w:p>
        </w:tc>
      </w:tr>
      <w:tr>
        <w:tc>
          <w:tcPr>
            <w:tcW w:type="dxa" w:w="1247"/>
            <w:tcBorders>
              <w:top w:val="single" w:sz="4" w:color="BFBFBF"/>
              <w:left w:val="single" w:sz="4" w:color="BFBFBF"/>
              <w:bottom w:val="single" w:sz="4" w:color="BFBFBF"/>
              <w:right w:val="single" w:sz="4" w:color="BFBFBF"/>
            </w:tcBorders>
            <w:vAlign w:val="center"/>
          </w:tcPr>
          <w:p>
            <w:pPr>
              <w:jc w:val="left"/>
            </w:pPr>
            <w:r/>
            <w:r>
              <w:rPr>
                <w:sz w:val="19"/>
              </w:rPr>
              <w:t>2026-02</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53</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13.87</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15.7</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10</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-22.1%</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-25.7%</w:t>
            </w:r>
          </w:p>
        </w:tc>
      </w:tr>
      <w:tr>
        <w:tc>
          <w:tcPr>
            <w:tcW w:type="dxa" w:w="1247"/>
            <w:tcBorders>
              <w:top w:val="single" w:sz="4" w:color="BFBFBF"/>
              <w:left w:val="single" w:sz="4" w:color="BFBFBF"/>
              <w:bottom w:val="single" w:sz="4" w:color="BFBFBF"/>
              <w:right w:val="single" w:sz="4" w:color="BFBFBF"/>
            </w:tcBorders>
            <w:vAlign w:val="center"/>
          </w:tcPr>
          <w:p>
            <w:pPr>
              <w:jc w:val="left"/>
            </w:pPr>
            <w:r/>
            <w:r>
              <w:rPr>
                <w:sz w:val="19"/>
              </w:rPr>
              <w:t>2026-03</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51</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10.52</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12.4</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15</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-3.8%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-24.2%</w:t>
            </w:r>
          </w:p>
        </w:tc>
      </w:tr>
      <w:tr>
        <w:tc>
          <w:tcPr>
            <w:tcW w:type="dxa" w:w="1247"/>
            <w:tcBorders>
              <w:top w:val="single" w:sz="4" w:color="BFBFBF"/>
              <w:left w:val="single" w:sz="4" w:color="BFBFBF"/>
              <w:bottom w:val="single" w:sz="4" w:color="BFBFBF"/>
              <w:right w:val="single" w:sz="4" w:color="BFBFBF"/>
            </w:tcBorders>
            <w:vAlign w:val="center"/>
          </w:tcPr>
          <w:p>
            <w:pPr>
              <w:jc w:val="left"/>
            </w:pPr>
            <w:r/>
            <w:r>
              <w:rPr>
                <w:sz w:val="19"/>
              </w:rPr>
              <w:t>2026-04</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57</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17.42</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18.3</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12</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+11.8%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+65.6%</w:t>
            </w:r>
          </w:p>
        </w:tc>
      </w:tr>
      <w:tr>
        <w:tc>
          <w:tcPr>
            <w:tcW w:type="dxa" w:w="1247"/>
            <w:tcBorders>
              <w:top w:val="single" w:sz="4" w:color="BFBFBF"/>
              <w:left w:val="single" w:sz="4" w:color="BFBFBF"/>
              <w:bottom w:val="single" w:sz="4" w:color="BFBFBF"/>
              <w:right w:val="single" w:sz="4" w:color="BFBFBF"/>
            </w:tcBorders>
            <w:vAlign w:val="center"/>
          </w:tcPr>
          <w:p>
            <w:pPr>
              <w:jc w:val="left"/>
            </w:pPr>
            <w:r/>
            <w:r>
              <w:rPr>
                <w:sz w:val="19"/>
              </w:rPr>
              <w:t>2026-05</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36</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9.90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16.5</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12</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-36.8%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-43.2%</w:t>
            </w:r>
          </w:p>
        </w:tc>
      </w:tr>
      <w:tr>
        <w:tc>
          <w:tcPr>
            <w:tcW w:type="dxa" w:w="1247"/>
            <w:tcBorders>
              <w:top w:val="single" w:sz="4" w:color="BFBFBF"/>
              <w:left w:val="single" w:sz="4" w:color="BFBFBF"/>
              <w:bottom w:val="single" w:sz="4" w:color="BFBFBF"/>
              <w:right w:val="single" w:sz="4" w:color="BFBFBF"/>
            </w:tcBorders>
            <w:vAlign w:val="center"/>
          </w:tcPr>
          <w:p>
            <w:pPr>
              <w:jc w:val="left"/>
            </w:pPr>
            <w:r/>
            <w:r>
              <w:rPr>
                <w:sz w:val="19"/>
              </w:rPr>
              <w:t>2026-06</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48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19.02</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23.8</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12</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+33.3%</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+92.1%</w:t>
            </w:r>
          </w:p>
        </w:tc>
      </w:tr>
      <w:tr>
        <w:tc>
          <w:tcPr>
            <w:tcW w:type="dxa" w:w="1247"/>
            <w:tcBorders>
              <w:top w:val="single" w:sz="4" w:color="BFBFBF"/>
              <w:left w:val="single" w:sz="4" w:color="BFBFBF"/>
              <w:bottom w:val="single" w:sz="4" w:color="BFBFBF"/>
              <w:right w:val="single" w:sz="4" w:color="BFBFBF"/>
            </w:tcBorders>
            <w:vAlign w:val="center"/>
          </w:tcPr>
          <w:p>
            <w:pPr>
              <w:jc w:val="left"/>
            </w:pPr>
            <w:r/>
            <w:r>
              <w:rPr>
                <w:sz w:val="19"/>
              </w:rPr>
              <w:t>2026-07</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67</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17.25</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15.4</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+39.6%</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-9.3%</w:t>
            </w:r>
          </w:p>
        </w:tc>
      </w:tr>
    </w:tbl>
    <w:p>
      <w:pPr>
        <w:spacing w:after="120"/>
        <w:jc w:val="left"/>
      </w:pPr>
      <w:r>
        <w:rPr>
          <w:b w:val="0"/>
          <w:i/>
          <w:color w:val="595959"/>
          <w:sz w:val="19"/>
        </w:rPr>
        <w:t>Table 3-1: Monthly breakdown summary with month-over-month deltas.</w:t>
      </w:r>
    </w:p>
    <w:p>
      <w:pPr>
        <w:pStyle w:val="Heading2"/>
      </w:pPr>
      <w:r>
        <w:t>3.3 Cumulative Build-Up Over Time</w:t>
      </w:r>
    </w:p>
    <w:p>
      <w:pPr>
        <w:spacing w:after="120"/>
        <w:jc w:val="both"/>
      </w:pPr>
      <w:r>
        <w:rPr>
          <w:b w:val="0"/>
          <w:i w:val="0"/>
          <w:sz w:val="22"/>
        </w:rPr>
        <w:t>The cumulative area chart (Figure 3-2) plots the running total of downtime hours and event count across the seven-month window. The slope of the downtime curve is steepest in late January, late April, and June — these are the periods where each additional day added the most downtime to the running total. The curve flattens visibly in March and May, confirming those months as relatively benign periods. By comparing the slope of the downtime curve against the slope of the events curve (dashed orange), one can immediately see the periods where severity per event was highest (June, where downtime slope exceeds event-count slope) versus periods where events were frequent but low-impact (July, where event-count slope catches up to downtime slope). This dual-axis cumulative view is the single best chart for executive review because it compresses the entire seven-month history into one trend line.</w:t>
      </w:r>
    </w:p>
    <w:p>
      <w:pPr>
        <w:jc w:val="center"/>
      </w:pPr>
      <w:r>
        <w:drawing>
          <wp:inline xmlns:a="http://schemas.openxmlformats.org/drawingml/2006/main" xmlns:pic="http://schemas.openxmlformats.org/drawingml/2006/picture">
            <wp:extent cx="5580000" cy="2327888"/>
            <wp:docPr id="2" name="Picture 2"/>
            <wp:cNvGraphicFramePr>
              <a:graphicFrameLocks noChangeAspect="1"/>
            </wp:cNvGraphicFramePr>
            <a:graphic>
              <a:graphicData uri="http://schemas.openxmlformats.org/drawingml/2006/picture">
                <pic:pic>
                  <pic:nvPicPr>
                    <pic:cNvPr id="0" name="13_cumulative_area.png"/>
                    <pic:cNvPicPr/>
                  </pic:nvPicPr>
                  <pic:blipFill>
                    <a:blip r:embed="rId14"/>
                    <a:stretch>
                      <a:fillRect/>
                    </a:stretch>
                  </pic:blipFill>
                  <pic:spPr>
                    <a:xfrm>
                      <a:off x="0" y="0"/>
                      <a:ext cx="5580000" cy="2327888"/>
                    </a:xfrm>
                    <a:prstGeom prst="rect"/>
                  </pic:spPr>
                </pic:pic>
              </a:graphicData>
            </a:graphic>
          </wp:inline>
        </w:drawing>
      </w:r>
    </w:p>
    <w:p>
      <w:pPr>
        <w:spacing w:after="200"/>
        <w:jc w:val="center"/>
      </w:pPr>
      <w:r>
        <w:rPr>
          <w:i/>
          <w:color w:val="595959"/>
          <w:sz w:val="19"/>
        </w:rPr>
        <w:t>Figure 3-2: Cumulative Downtime &amp; Events Build-Up Over Time</w:t>
      </w:r>
    </w:p>
    <w:p>
      <w:r>
        <w:br w:type="page"/>
      </w:r>
    </w:p>
    <w:p>
      <w:pPr>
        <w:pStyle w:val="Heading1"/>
      </w:pPr>
      <w:r>
        <w:t>4. Comparisons &amp; Variance Drivers</w:t>
      </w:r>
    </w:p>
    <w:p>
      <w:pPr>
        <w:pStyle w:val="Heading2"/>
      </w:pPr>
      <w:r>
        <w:t>4.1 Month-over-Month (MoM) Variance</w:t>
      </w:r>
    </w:p>
    <w:p>
      <w:pPr>
        <w:spacing w:after="120"/>
        <w:jc w:val="both"/>
      </w:pPr>
      <w:r>
        <w:rPr>
          <w:b w:val="0"/>
          <w:i w:val="0"/>
          <w:sz w:val="22"/>
        </w:rPr>
        <w:t>MoM variance analysis isolates which months deviated from trend and what drove the deviation. The most material movement is the May-to-June swing: downtime jumped from 9.9 hours to 19.0 hours (+92.1% MoM) while event count rose only from 36 to 48 (+33.3%). The driver of this gap is severity, not frequency — June logged 5 events of 60+ minutes versus only 2 in May, and June's mean downtime per event (23.8 min) was the highest of any month. Electrical faults were the largest contributor in June (19 events, 40% of the month), with Station 85 again the epicenter (13 events). The April-to-May improvement (-43.2% downtime) was driven by a sharp drop in event count (-36.8%) rather than shorter repairs, suggesting a genuine reduction in fault occurrence — possibly the result of maintenance activity in late April. March-to-April shows a deterioration pattern (+65.6% downtime on only +11.8% events), again pointing to severity as the swing factor.</w:t>
      </w:r>
    </w:p>
    <w:p>
      <w:pPr>
        <w:pStyle w:val="Heading2"/>
      </w:pPr>
      <w:r>
        <w:t>4.2 Week-over-Week (WoW) Trend</w:t>
      </w:r>
    </w:p>
    <w:p>
      <w:pPr>
        <w:spacing w:after="120"/>
        <w:jc w:val="both"/>
      </w:pPr>
      <w:r>
        <w:rPr>
          <w:b w:val="0"/>
          <w:i w:val="0"/>
          <w:sz w:val="22"/>
        </w:rPr>
        <w:t>The weekly view smooths out single-day outliers and exposes the underlying cadence of breakdown activity. Across 31 observed weeks, weekly event counts range from 2 (W10) to 23 (W07), and weekly downtime ranges from 0 hours (W10) to 7.83 hours (W27). The weekly mean downtime is approximately 3.4 hours, and 11 weeks exceeded this average. The most volatile period was weeks W05–W07, where downtime swung from 1.83 hours to 7.68 hours to 3.52 hours within three weeks. The most recent weeks (W27–W31) show a mixed but slightly declining trend, with W30 and W31 below the weekly average — an early positive signal that should be monitored to confirm whether it represents a sustained improvement or simply a pause between failure clusters.</w:t>
      </w:r>
    </w:p>
    <w:p>
      <w:pPr>
        <w:jc w:val="center"/>
      </w:pPr>
      <w:r>
        <w:drawing>
          <wp:inline xmlns:a="http://schemas.openxmlformats.org/drawingml/2006/main" xmlns:pic="http://schemas.openxmlformats.org/drawingml/2006/picture">
            <wp:extent cx="5580000" cy="2325000"/>
            <wp:docPr id="3" name="Picture 3"/>
            <wp:cNvGraphicFramePr>
              <a:graphicFrameLocks noChangeAspect="1"/>
            </wp:cNvGraphicFramePr>
            <a:graphic>
              <a:graphicData uri="http://schemas.openxmlformats.org/drawingml/2006/picture">
                <pic:pic>
                  <pic:nvPicPr>
                    <pic:cNvPr id="0" name="07_weekly_trend.png"/>
                    <pic:cNvPicPr/>
                  </pic:nvPicPr>
                  <pic:blipFill>
                    <a:blip r:embed="rId15"/>
                    <a:stretch>
                      <a:fillRect/>
                    </a:stretch>
                  </pic:blipFill>
                  <pic:spPr>
                    <a:xfrm>
                      <a:off x="0" y="0"/>
                      <a:ext cx="5580000" cy="2325000"/>
                    </a:xfrm>
                    <a:prstGeom prst="rect"/>
                  </pic:spPr>
                </pic:pic>
              </a:graphicData>
            </a:graphic>
          </wp:inline>
        </w:drawing>
      </w:r>
    </w:p>
    <w:p>
      <w:pPr>
        <w:spacing w:after="200"/>
        <w:jc w:val="center"/>
      </w:pPr>
      <w:r>
        <w:rPr>
          <w:i/>
          <w:color w:val="595959"/>
          <w:sz w:val="19"/>
        </w:rPr>
        <w:t>Figure 4-1: Weekly Breakdown Trend — Events vs Downtime Hours (W01–W31 2026)</w:t>
      </w:r>
    </w:p>
    <w:p>
      <w:pPr>
        <w:pStyle w:val="Heading2"/>
      </w:pPr>
      <w:r>
        <w:t>4.3 Cross-Station Comparison (Segment View)</w:t>
      </w:r>
    </w:p>
    <w:p>
      <w:pPr>
        <w:spacing w:after="120"/>
        <w:jc w:val="both"/>
      </w:pPr>
      <w:r>
        <w:rPr>
          <w:b w:val="0"/>
          <w:i w:val="0"/>
          <w:sz w:val="22"/>
        </w:rPr>
        <w:t>When stations are compared, the concentration of loss is stark. The top three stations (85, 15, 70) together produce 70.8% of all downtime hours, while the bottom six stations collectively contribute less than 7%. This Pareto distribution is the strongest signal in the dataset: a focused reliability program targeting only the top three stations could address roughly seven out of every ten lost production hours. The mean downtime per event also varies meaningfully — Station 85 averages 21.3 minutes per event (well above the line average of 16.8 minutes), while Station 50 averages 18.3 minutes despite a much lower event count, suggesting that when Station 50 does fail, the repair is similarly complex. By contrast, Station 90 and Station 160 average under 14 and 10 minutes respectively, indicating simpler, faster-to-resolve failure modes.</w:t>
      </w:r>
    </w:p>
    <w:p>
      <w:pPr>
        <w:jc w:val="center"/>
      </w:pPr>
      <w:r>
        <w:drawing>
          <wp:inline xmlns:a="http://schemas.openxmlformats.org/drawingml/2006/main" xmlns:pic="http://schemas.openxmlformats.org/drawingml/2006/picture">
            <wp:extent cx="5580000" cy="2748971"/>
            <wp:docPr id="4" name="Picture 4"/>
            <wp:cNvGraphicFramePr>
              <a:graphicFrameLocks noChangeAspect="1"/>
            </wp:cNvGraphicFramePr>
            <a:graphic>
              <a:graphicData uri="http://schemas.openxmlformats.org/drawingml/2006/picture">
                <pic:pic>
                  <pic:nvPicPr>
                    <pic:cNvPr id="0" name="02_pareto_station.png"/>
                    <pic:cNvPicPr/>
                  </pic:nvPicPr>
                  <pic:blipFill>
                    <a:blip r:embed="rId16"/>
                    <a:stretch>
                      <a:fillRect/>
                    </a:stretch>
                  </pic:blipFill>
                  <pic:spPr>
                    <a:xfrm>
                      <a:off x="0" y="0"/>
                      <a:ext cx="5580000" cy="2748971"/>
                    </a:xfrm>
                    <a:prstGeom prst="rect"/>
                  </pic:spPr>
                </pic:pic>
              </a:graphicData>
            </a:graphic>
          </wp:inline>
        </w:drawing>
      </w:r>
    </w:p>
    <w:p>
      <w:pPr>
        <w:spacing w:after="200"/>
        <w:jc w:val="center"/>
      </w:pPr>
      <w:r>
        <w:rPr>
          <w:i/>
          <w:color w:val="595959"/>
          <w:sz w:val="19"/>
        </w:rPr>
        <w:t>Figure 4-2: Pareto Analysis of Breakdown Events by Station</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58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Station</w:t>
            </w:r>
          </w:p>
        </w:tc>
        <w:tc>
          <w:tcPr>
            <w:tcW w:type="dxa" w:w="1020"/>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Events</w:t>
            </w:r>
          </w:p>
        </w:tc>
        <w:tc>
          <w:tcPr>
            <w:tcW w:type="dxa" w:w="113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 Events</w:t>
            </w:r>
          </w:p>
        </w:tc>
        <w:tc>
          <w:tcPr>
            <w:tcW w:type="dxa" w:w="136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Downtime (hrs)</w:t>
            </w:r>
          </w:p>
        </w:tc>
        <w:tc>
          <w:tcPr>
            <w:tcW w:type="dxa" w:w="124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 Downtime</w:t>
            </w:r>
          </w:p>
        </w:tc>
        <w:tc>
          <w:tcPr>
            <w:tcW w:type="dxa" w:w="113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Mean (min)</w:t>
            </w:r>
          </w:p>
        </w:tc>
        <w:tc>
          <w:tcPr>
            <w:tcW w:type="dxa" w:w="113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Max (min)</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85</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120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31.6%</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42.53</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39.9%</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21.3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219</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15</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77</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20.3%</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19.30</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18.1%</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15.0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120</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70</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61</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16.1%</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13.68</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12.8%</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13.5</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180</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110</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39</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10.3%</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10.15</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9.5%</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15.6</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119</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140</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23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6.1%</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6.20</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5.8%</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16.2</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60</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130</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19</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5.0%</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5.72</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5.4%</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18.1</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79</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90</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13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3.4%</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2.95</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2.8%</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13.6</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40</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50</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11</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2.9%</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3.35</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3.1%</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18.3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60</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1455 C</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8</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2.1%</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0.83</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0.8%</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6.2</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25</w:t>
            </w:r>
          </w:p>
        </w:tc>
      </w:tr>
      <w:tr>
        <w:tc>
          <w:tcPr>
            <w:tcW w:type="dxa" w:w="1587"/>
            <w:tcBorders>
              <w:top w:val="single" w:sz="4" w:color="BFBFBF"/>
              <w:left w:val="single" w:sz="4" w:color="BFBFBF"/>
              <w:bottom w:val="single" w:sz="4" w:color="BFBFBF"/>
              <w:right w:val="single" w:sz="4" w:color="BFBFBF"/>
            </w:tcBorders>
            <w:vAlign w:val="center"/>
          </w:tcPr>
          <w:p>
            <w:pPr>
              <w:jc w:val="left"/>
            </w:pPr>
            <w:r/>
            <w:r>
              <w:rPr>
                <w:sz w:val="19"/>
              </w:rPr>
              <w:t>Station 160</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4</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1.1%</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0.67</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0.6%</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10.0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20</w:t>
            </w:r>
          </w:p>
        </w:tc>
      </w:tr>
    </w:tbl>
    <w:p>
      <w:pPr>
        <w:spacing w:after="120"/>
        <w:jc w:val="left"/>
      </w:pPr>
      <w:r>
        <w:rPr>
          <w:b w:val="0"/>
          <w:i/>
          <w:color w:val="595959"/>
          <w:sz w:val="19"/>
        </w:rPr>
        <w:t>Table 4-1: Top 10 stations ranked by event count, with downtime share and severity indicators.</w:t>
      </w:r>
    </w:p>
    <w:p>
      <w:pPr>
        <w:pStyle w:val="Heading2"/>
      </w:pPr>
      <w:r>
        <w:t>4.4 Station Profile — Frequency vs Impact (Bubble View)</w:t>
      </w:r>
    </w:p>
    <w:p>
      <w:pPr>
        <w:spacing w:after="120"/>
        <w:jc w:val="both"/>
      </w:pPr>
      <w:r>
        <w:rPr>
          <w:b w:val="0"/>
          <w:i w:val="0"/>
          <w:sz w:val="22"/>
        </w:rPr>
        <w:t>The bubble chart in Figure 4-3 plots each station on two axes — number of events (x) versus total downtime hours (y) — with bubble size proportional to mean downtime per event. This view is more informative than the Pareto chart because it simultaneously shows frequency, total impact, and severity. The top-right quadrant (high frequency + high downtime) is occupied solely by Station 85, confirming it as the highest-leverage improvement target. Station 15 sits below it with similar total downtime but lower event count, meaning its individual events are more severe on average. Stations in the lower-left (Station 20, Station 60, Station 160) are low-priority — they fail rarely and recover quickly. The bubble-size dimension adds a third insight: Station 50 has a relatively large bubble despite a low event count, indicating that when it does fail, the repair takes significantly longer than the line average.</w:t>
      </w:r>
    </w:p>
    <w:p>
      <w:pPr>
        <w:jc w:val="center"/>
      </w:pPr>
      <w:r>
        <w:drawing>
          <wp:inline xmlns:a="http://schemas.openxmlformats.org/drawingml/2006/main" xmlns:pic="http://schemas.openxmlformats.org/drawingml/2006/picture">
            <wp:extent cx="5580000" cy="3283364"/>
            <wp:docPr id="5" name="Picture 5"/>
            <wp:cNvGraphicFramePr>
              <a:graphicFrameLocks noChangeAspect="1"/>
            </wp:cNvGraphicFramePr>
            <a:graphic>
              <a:graphicData uri="http://schemas.openxmlformats.org/drawingml/2006/picture">
                <pic:pic>
                  <pic:nvPicPr>
                    <pic:cNvPr id="0" name="12_scatter_stations.png"/>
                    <pic:cNvPicPr/>
                  </pic:nvPicPr>
                  <pic:blipFill>
                    <a:blip r:embed="rId17"/>
                    <a:stretch>
                      <a:fillRect/>
                    </a:stretch>
                  </pic:blipFill>
                  <pic:spPr>
                    <a:xfrm>
                      <a:off x="0" y="0"/>
                      <a:ext cx="5580000" cy="3283364"/>
                    </a:xfrm>
                    <a:prstGeom prst="rect"/>
                  </pic:spPr>
                </pic:pic>
              </a:graphicData>
            </a:graphic>
          </wp:inline>
        </w:drawing>
      </w:r>
    </w:p>
    <w:p>
      <w:pPr>
        <w:spacing w:after="200"/>
        <w:jc w:val="center"/>
      </w:pPr>
      <w:r>
        <w:rPr>
          <w:i/>
          <w:color w:val="595959"/>
          <w:sz w:val="19"/>
        </w:rPr>
        <w:t>Figure 4-3: Station Profile — Events vs Downtime (bubble size = mean downtime per event)</w:t>
      </w:r>
    </w:p>
    <w:p>
      <w:r>
        <w:br w:type="page"/>
      </w:r>
    </w:p>
    <w:p>
      <w:pPr>
        <w:pStyle w:val="Heading1"/>
      </w:pPr>
      <w:r>
        <w:t>5. Attribution &amp; Diagnosis</w:t>
      </w:r>
    </w:p>
    <w:p>
      <w:pPr>
        <w:pStyle w:val="Heading2"/>
      </w:pPr>
      <w:r>
        <w:t>5.1 Fault Type Attribution</w:t>
      </w:r>
    </w:p>
    <w:p>
      <w:pPr>
        <w:spacing w:after="120"/>
        <w:jc w:val="both"/>
      </w:pPr>
      <w:r>
        <w:rPr>
          <w:b w:val="0"/>
          <w:i w:val="0"/>
          <w:sz w:val="22"/>
        </w:rPr>
        <w:t>Fault type attribution reveals that Electrical and Mechanical failures are essentially co-dominant and together account for 81.5% of all downtime hours (86.9 of 106.6 hours). Electrical faults are slightly more frequent (133 events vs 113) but Mechanical faults produce the single longest outage (219 minutes) and the higher mean downtime per event (22.9 min vs 19.7 min for Electrical), reflecting the typically more invasive nature of mechanical repairs (part replacement, alignment, re-assembly). Production faults are the third most frequent (63 events, 16.6%) but contribute only 4.13 downtime hours (3.9%) — these are predominantly quick-reset events such as cycle-not-start or barcode-not-scan, where the operator or maintenance technician can restore production within minutes. Planned Maintenance events (23) record zero downtime by design and should be excluded from unplanned-loss KPIs going forward.</w:t>
      </w:r>
    </w:p>
    <w:p>
      <w:pPr>
        <w:jc w:val="center"/>
      </w:pPr>
      <w:r>
        <w:drawing>
          <wp:inline xmlns:a="http://schemas.openxmlformats.org/drawingml/2006/main" xmlns:pic="http://schemas.openxmlformats.org/drawingml/2006/picture">
            <wp:extent cx="5580000" cy="2448839"/>
            <wp:docPr id="6" name="Picture 6"/>
            <wp:cNvGraphicFramePr>
              <a:graphicFrameLocks noChangeAspect="1"/>
            </wp:cNvGraphicFramePr>
            <a:graphic>
              <a:graphicData uri="http://schemas.openxmlformats.org/drawingml/2006/picture">
                <pic:pic>
                  <pic:nvPicPr>
                    <pic:cNvPr id="0" name="03_fault_type.png"/>
                    <pic:cNvPicPr/>
                  </pic:nvPicPr>
                  <pic:blipFill>
                    <a:blip r:embed="rId18"/>
                    <a:stretch>
                      <a:fillRect/>
                    </a:stretch>
                  </pic:blipFill>
                  <pic:spPr>
                    <a:xfrm>
                      <a:off x="0" y="0"/>
                      <a:ext cx="5580000" cy="2448839"/>
                    </a:xfrm>
                    <a:prstGeom prst="rect"/>
                  </pic:spPr>
                </pic:pic>
              </a:graphicData>
            </a:graphic>
          </wp:inline>
        </w:drawing>
      </w:r>
    </w:p>
    <w:p>
      <w:pPr>
        <w:spacing w:after="200"/>
        <w:jc w:val="center"/>
      </w:pPr>
      <w:r>
        <w:rPr>
          <w:i/>
          <w:color w:val="595959"/>
          <w:sz w:val="19"/>
        </w:rPr>
        <w:t>Figure 5-1: Fault Type Analysis — Event Frequency vs Downtime Impact</w:t>
      </w:r>
    </w:p>
    <w:p>
      <w:pPr>
        <w:pStyle w:val="Heading2"/>
      </w:pPr>
      <w:r>
        <w:t>5.2 Fault Type Composition — Donut View</w:t>
      </w:r>
    </w:p>
    <w:p>
      <w:pPr>
        <w:spacing w:after="120"/>
        <w:jc w:val="both"/>
      </w:pPr>
      <w:r>
        <w:rPr>
          <w:b w:val="0"/>
          <w:i w:val="0"/>
          <w:sz w:val="22"/>
        </w:rPr>
        <w:t>The donut chart (Figure 5-2) presents the same fault-type data as a share-of-total view, which is the most intuitive format for executive communication. Electrical faults account for 35.0% of all events — more than one in three breakdowns on the line — followed by Mechanical at 29.7% and Production at 16.6%. The remaining six categories combined account for less than 19% of events, which means that any reliability initiative targeting only Electrical and Mechanical faults will address nearly two-thirds of all breakdown occurrences. The donut format also makes immediately visible that Planned Maintenance (6.1%) and Quality (0.8%) are negligible contributors to event count and can be safely de-prioritized for the current improvement cycle.</w:t>
      </w:r>
    </w:p>
    <w:p>
      <w:pPr>
        <w:jc w:val="center"/>
      </w:pPr>
      <w:r>
        <w:drawing>
          <wp:inline xmlns:a="http://schemas.openxmlformats.org/drawingml/2006/main" xmlns:pic="http://schemas.openxmlformats.org/drawingml/2006/picture">
            <wp:extent cx="5580000" cy="4152356"/>
            <wp:docPr id="7" name="Picture 7"/>
            <wp:cNvGraphicFramePr>
              <a:graphicFrameLocks noChangeAspect="1"/>
            </wp:cNvGraphicFramePr>
            <a:graphic>
              <a:graphicData uri="http://schemas.openxmlformats.org/drawingml/2006/picture">
                <pic:pic>
                  <pic:nvPicPr>
                    <pic:cNvPr id="0" name="09_donut_fault_type.png"/>
                    <pic:cNvPicPr/>
                  </pic:nvPicPr>
                  <pic:blipFill>
                    <a:blip r:embed="rId19"/>
                    <a:stretch>
                      <a:fillRect/>
                    </a:stretch>
                  </pic:blipFill>
                  <pic:spPr>
                    <a:xfrm>
                      <a:off x="0" y="0"/>
                      <a:ext cx="5580000" cy="4152356"/>
                    </a:xfrm>
                    <a:prstGeom prst="rect"/>
                  </pic:spPr>
                </pic:pic>
              </a:graphicData>
            </a:graphic>
          </wp:inline>
        </w:drawing>
      </w:r>
    </w:p>
    <w:p>
      <w:pPr>
        <w:spacing w:after="200"/>
        <w:jc w:val="center"/>
      </w:pPr>
      <w:r>
        <w:rPr>
          <w:i/>
          <w:color w:val="595959"/>
          <w:sz w:val="19"/>
        </w:rPr>
        <w:t>Figure 5-2: Fault Type Composition — Share of Breakdown Events (Donut)</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81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Fault Type</w:t>
            </w:r>
          </w:p>
        </w:tc>
        <w:tc>
          <w:tcPr>
            <w:tcW w:type="dxa" w:w="1020"/>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Events</w:t>
            </w:r>
          </w:p>
        </w:tc>
        <w:tc>
          <w:tcPr>
            <w:tcW w:type="dxa" w:w="113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 Events</w:t>
            </w:r>
          </w:p>
        </w:tc>
        <w:tc>
          <w:tcPr>
            <w:tcW w:type="dxa" w:w="136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Downtime (hrs)</w:t>
            </w:r>
          </w:p>
        </w:tc>
        <w:tc>
          <w:tcPr>
            <w:tcW w:type="dxa" w:w="124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 Downtime</w:t>
            </w:r>
          </w:p>
        </w:tc>
        <w:tc>
          <w:tcPr>
            <w:tcW w:type="dxa" w:w="113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Mean (min)</w:t>
            </w:r>
          </w:p>
        </w:tc>
        <w:tc>
          <w:tcPr>
            <w:tcW w:type="dxa" w:w="113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Max (min)</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Electrical</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133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35.0%</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43.75</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41.0%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19.7</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160</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Mechanical</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113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29.7%</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43.15</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40.5%</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22.9</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219</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Production</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63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16.6%</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4.13</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3.9%</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3.9</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28</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Planned Maintenance</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23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6.1%</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0.00</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0.0%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0.0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0</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Process_IE</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21</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5.5%</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7.33</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6.9%</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21.0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70</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Others</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13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3.4%</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4.28</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4.0%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19.8</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60</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Electronics</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7</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2.25</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2.1%</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19.3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40</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Fixture</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4</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1.1%</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0.83</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0.8%</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12.5</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30</w:t>
            </w:r>
          </w:p>
        </w:tc>
      </w:tr>
      <w:tr>
        <w:tc>
          <w:tcPr>
            <w:tcW w:type="dxa" w:w="1814"/>
            <w:tcBorders>
              <w:top w:val="single" w:sz="4" w:color="BFBFBF"/>
              <w:left w:val="single" w:sz="4" w:color="BFBFBF"/>
              <w:bottom w:val="single" w:sz="4" w:color="BFBFBF"/>
              <w:right w:val="single" w:sz="4" w:color="BFBFBF"/>
            </w:tcBorders>
            <w:vAlign w:val="center"/>
          </w:tcPr>
          <w:p>
            <w:pPr>
              <w:jc w:val="left"/>
            </w:pPr>
            <w:r/>
            <w:r>
              <w:rPr>
                <w:sz w:val="19"/>
              </w:rPr>
              <w:t>Quality</w:t>
            </w:r>
          </w:p>
        </w:tc>
        <w:tc>
          <w:tcPr>
            <w:tcW w:type="dxa" w:w="1020"/>
            <w:tcBorders>
              <w:top w:val="single" w:sz="4" w:color="BFBFBF"/>
              <w:left w:val="single" w:sz="4" w:color="BFBFBF"/>
              <w:bottom w:val="single" w:sz="4" w:color="BFBFBF"/>
              <w:right w:val="single" w:sz="4" w:color="BFBFBF"/>
            </w:tcBorders>
            <w:vAlign w:val="center"/>
          </w:tcPr>
          <w:p>
            <w:pPr>
              <w:jc w:val="center"/>
            </w:pPr>
            <w:r/>
            <w:r>
              <w:rPr>
                <w:sz w:val="19"/>
              </w:rPr>
              <w:t>3</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0.8%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0.90</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0.8%</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18.0</w:t>
            </w:r>
          </w:p>
        </w:tc>
        <w:tc>
          <w:tcPr>
            <w:tcW w:type="dxa" w:w="1134"/>
            <w:tcBorders>
              <w:top w:val="single" w:sz="4" w:color="BFBFBF"/>
              <w:left w:val="single" w:sz="4" w:color="BFBFBF"/>
              <w:bottom w:val="single" w:sz="4" w:color="BFBFBF"/>
              <w:right w:val="single" w:sz="4" w:color="BFBFBF"/>
            </w:tcBorders>
            <w:vAlign w:val="center"/>
          </w:tcPr>
          <w:p>
            <w:pPr>
              <w:jc w:val="center"/>
            </w:pPr>
            <w:r/>
            <w:r>
              <w:rPr>
                <w:sz w:val="19"/>
              </w:rPr>
              <w:t>29</w:t>
            </w:r>
          </w:p>
        </w:tc>
      </w:tr>
    </w:tbl>
    <w:p>
      <w:pPr>
        <w:spacing w:after="120"/>
        <w:jc w:val="left"/>
      </w:pPr>
      <w:r>
        <w:rPr>
          <w:b w:val="0"/>
          <w:i/>
          <w:color w:val="595959"/>
          <w:sz w:val="19"/>
        </w:rPr>
        <w:t>Table 5-1: Fault type breakdown ranked by event count, with downtime share and severity.</w:t>
      </w:r>
    </w:p>
    <w:p>
      <w:pPr>
        <w:pStyle w:val="Heading2"/>
      </w:pPr>
      <w:r>
        <w:t>5.3 Station × Fault Type Interaction</w:t>
      </w:r>
    </w:p>
    <w:p>
      <w:pPr>
        <w:spacing w:after="120"/>
        <w:jc w:val="both"/>
      </w:pPr>
      <w:r>
        <w:rPr>
          <w:b w:val="0"/>
          <w:i w:val="0"/>
          <w:sz w:val="22"/>
        </w:rPr>
        <w:t>The heatmap of the top eight stations against fault type exposes important interaction effects that single-dimension views hide. Station 85 is heavily dominated by Electrical faults (43 events) and Production faults (25), with a smaller Mechanical contribution (29 events) — this profile suggests that the screwing-and-camera-checking station suffers primarily from sensor, actuator, and control-logic issues rather than pure mechanical wear. Station 15, by contrast, shows a more balanced Electrical (34) / Mechanical (26) split, with a notable Production (11) tail — consistent with a station where both hardware and operating procedure contribute to downtime. Station 70 (Riveting &amp; Screw, Leak Test) has a surprising Mechanical dominance and three Fixture-related events, suggesting tooling or fixturing wear as an emerging issue. Station 110 (Functional Test) shows the most balanced fault profile across categories, which is typical of a test station that catches failures originating upstream.</w:t>
      </w:r>
    </w:p>
    <w:p>
      <w:pPr>
        <w:jc w:val="center"/>
      </w:pPr>
      <w:r>
        <w:drawing>
          <wp:inline xmlns:a="http://schemas.openxmlformats.org/drawingml/2006/main" xmlns:pic="http://schemas.openxmlformats.org/drawingml/2006/picture">
            <wp:extent cx="5580000" cy="2743983"/>
            <wp:docPr id="8" name="Picture 8"/>
            <wp:cNvGraphicFramePr>
              <a:graphicFrameLocks noChangeAspect="1"/>
            </wp:cNvGraphicFramePr>
            <a:graphic>
              <a:graphicData uri="http://schemas.openxmlformats.org/drawingml/2006/picture">
                <pic:pic>
                  <pic:nvPicPr>
                    <pic:cNvPr id="0" name="04_heatmap.png"/>
                    <pic:cNvPicPr/>
                  </pic:nvPicPr>
                  <pic:blipFill>
                    <a:blip r:embed="rId20"/>
                    <a:stretch>
                      <a:fillRect/>
                    </a:stretch>
                  </pic:blipFill>
                  <pic:spPr>
                    <a:xfrm>
                      <a:off x="0" y="0"/>
                      <a:ext cx="5580000" cy="2743983"/>
                    </a:xfrm>
                    <a:prstGeom prst="rect"/>
                  </pic:spPr>
                </pic:pic>
              </a:graphicData>
            </a:graphic>
          </wp:inline>
        </w:drawing>
      </w:r>
    </w:p>
    <w:p>
      <w:pPr>
        <w:spacing w:after="200"/>
        <w:jc w:val="center"/>
      </w:pPr>
      <w:r>
        <w:rPr>
          <w:i/>
          <w:color w:val="595959"/>
          <w:sz w:val="19"/>
        </w:rPr>
        <w:t>Figure 5-3: Heatmap — Top 8 Stations × Fault Type (Event Counts)</w:t>
      </w:r>
    </w:p>
    <w:p>
      <w:pPr>
        <w:pStyle w:val="Heading2"/>
      </w:pPr>
      <w:r>
        <w:t>5.4 Fault Type Composition by Station (Share View)</w:t>
      </w:r>
    </w:p>
    <w:p>
      <w:pPr>
        <w:spacing w:after="120"/>
        <w:jc w:val="both"/>
      </w:pPr>
      <w:r>
        <w:rPr>
          <w:b w:val="0"/>
          <w:i w:val="0"/>
          <w:sz w:val="22"/>
        </w:rPr>
        <w:t>The horizontal stacked-percentage chart in Figure 5-4 normalizes each station's fault mix to 100%, making it easy to compare the failure signature of each asset regardless of total event count. Station 85's bar is visibly dominated by the Electrical (orange) and Production (green) segments, confirming the control-logic failure signature discussed above. Station 130 stands out as having an unusually high share of Electrical faults — over 50% of its relatively small event count — suggesting a specific electrical subsystem issue worth a targeted investigation. Station 70 has the highest Mechanical share among the top stations, consistent with its riveting and leak-test function which places mechanical load on tooling. Stations 50 and 90 show balanced profiles, indicating that no single failure mode dominates — these stations may benefit from broad-based preventive maintenance rather than a single-issue RCFA.</w:t>
      </w:r>
    </w:p>
    <w:p>
      <w:pPr>
        <w:jc w:val="center"/>
      </w:pPr>
      <w:r>
        <w:drawing>
          <wp:inline xmlns:a="http://schemas.openxmlformats.org/drawingml/2006/main" xmlns:pic="http://schemas.openxmlformats.org/drawingml/2006/picture">
            <wp:extent cx="5580000" cy="2746112"/>
            <wp:docPr id="9" name="Picture 9"/>
            <wp:cNvGraphicFramePr>
              <a:graphicFrameLocks noChangeAspect="1"/>
            </wp:cNvGraphicFramePr>
            <a:graphic>
              <a:graphicData uri="http://schemas.openxmlformats.org/drawingml/2006/picture">
                <pic:pic>
                  <pic:nvPicPr>
                    <pic:cNvPr id="0" name="14_stacked_station_pct.png"/>
                    <pic:cNvPicPr/>
                  </pic:nvPicPr>
                  <pic:blipFill>
                    <a:blip r:embed="rId21"/>
                    <a:stretch>
                      <a:fillRect/>
                    </a:stretch>
                  </pic:blipFill>
                  <pic:spPr>
                    <a:xfrm>
                      <a:off x="0" y="0"/>
                      <a:ext cx="5580000" cy="2746112"/>
                    </a:xfrm>
                    <a:prstGeom prst="rect"/>
                  </pic:spPr>
                </pic:pic>
              </a:graphicData>
            </a:graphic>
          </wp:inline>
        </w:drawing>
      </w:r>
    </w:p>
    <w:p>
      <w:pPr>
        <w:spacing w:after="200"/>
        <w:jc w:val="center"/>
      </w:pPr>
      <w:r>
        <w:rPr>
          <w:i/>
          <w:color w:val="595959"/>
          <w:sz w:val="19"/>
        </w:rPr>
        <w:t>Figure 5-4: Fault Type Composition by Station (Top 8) — Share of Total Events</w:t>
      </w:r>
    </w:p>
    <w:p>
      <w:pPr>
        <w:pStyle w:val="Heading2"/>
      </w:pPr>
      <w:r>
        <w:t>5.5 Fault Type Trend by Month</w:t>
      </w:r>
    </w:p>
    <w:p>
      <w:pPr>
        <w:spacing w:after="120"/>
        <w:jc w:val="both"/>
      </w:pPr>
      <w:r>
        <w:rPr>
          <w:b w:val="0"/>
          <w:i w:val="0"/>
          <w:sz w:val="22"/>
        </w:rPr>
        <w:t>The stacked-bar chart in Figure 5-5 tracks how the fault-type mix has shifted month-over-month. The most striking trend is the gradual decline in Electrical faults from 23 events in January to 13 in July — a 43% reduction — which may indicate that earlier electrical issues have been partially addressed. Conversely, Mechanical faults remain stubbornly stable at 18–22 events per month with no clear improvement trend, suggesting that mechanical wear is a structural rather than incidental problem. Production faults spiked in March (12 events) and June (7) before declining, while Process_IE events show a bimodal pattern with peaks in January (7) and May (7). The "Others" category grew in July, which may indicate either an emerging new fault mode or a classification discipline issue worth monitoring.</w:t>
      </w:r>
    </w:p>
    <w:p>
      <w:pPr>
        <w:jc w:val="center"/>
      </w:pPr>
      <w:r>
        <w:drawing>
          <wp:inline xmlns:a="http://schemas.openxmlformats.org/drawingml/2006/main" xmlns:pic="http://schemas.openxmlformats.org/drawingml/2006/picture">
            <wp:extent cx="5580000" cy="2744570"/>
            <wp:docPr id="10" name="Picture 10"/>
            <wp:cNvGraphicFramePr>
              <a:graphicFrameLocks noChangeAspect="1"/>
            </wp:cNvGraphicFramePr>
            <a:graphic>
              <a:graphicData uri="http://schemas.openxmlformats.org/drawingml/2006/picture">
                <pic:pic>
                  <pic:nvPicPr>
                    <pic:cNvPr id="0" name="10_stacked_fault_month.png"/>
                    <pic:cNvPicPr/>
                  </pic:nvPicPr>
                  <pic:blipFill>
                    <a:blip r:embed="rId22"/>
                    <a:stretch>
                      <a:fillRect/>
                    </a:stretch>
                  </pic:blipFill>
                  <pic:spPr>
                    <a:xfrm>
                      <a:off x="0" y="0"/>
                      <a:ext cx="5580000" cy="2744570"/>
                    </a:xfrm>
                    <a:prstGeom prst="rect"/>
                  </pic:spPr>
                </pic:pic>
              </a:graphicData>
            </a:graphic>
          </wp:inline>
        </w:drawing>
      </w:r>
    </w:p>
    <w:p>
      <w:pPr>
        <w:spacing w:after="200"/>
        <w:jc w:val="center"/>
      </w:pPr>
      <w:r>
        <w:rPr>
          <w:i/>
          <w:color w:val="595959"/>
          <w:sz w:val="19"/>
        </w:rPr>
        <w:t>Figure 5-5: Fault Type Composition by Month — Trend in Failure Mix</w:t>
      </w:r>
    </w:p>
    <w:p>
      <w:pPr>
        <w:pStyle w:val="Heading2"/>
      </w:pPr>
      <w:r>
        <w:t>5.6 Top 5 Stations — Multidimensional Radar Profile</w:t>
      </w:r>
    </w:p>
    <w:p>
      <w:pPr>
        <w:spacing w:after="120"/>
        <w:jc w:val="both"/>
      </w:pPr>
      <w:r>
        <w:rPr>
          <w:b w:val="0"/>
          <w:i w:val="0"/>
          <w:sz w:val="22"/>
        </w:rPr>
        <w:t>The radar chart in Figure 5-6 normalizes five performance dimensions — event count, total downtime, mean downtime, max downtime, and zero-downtime events — to a 0–100% scale (where 100% represents the worst-performing station on each dimension) and overlays the top five stations. Station 85 (blue) dominates on every axis, filling the largest area of the radar — a visual confirmation that it is the worst performer on all five dimensions simultaneously. Station 15 (orange) is the second-worst on event count and total downtime but scores lower on max downtime, meaning its failures are more uniform in duration. Station 70 (green) has a distinctive shape with a high mean-downtime spike, indicating that while it fails less often than Station 15, its individual failures tend to last longer. Stations 110 and 140 occupy a much smaller area of the radar, confirming their lower-priority status. The radar is the most compact single-image comparison of station performance and is well-suited for management dashboards.</w:t>
      </w:r>
    </w:p>
    <w:p>
      <w:pPr>
        <w:jc w:val="center"/>
      </w:pPr>
      <w:r>
        <w:drawing>
          <wp:inline xmlns:a="http://schemas.openxmlformats.org/drawingml/2006/main" xmlns:pic="http://schemas.openxmlformats.org/drawingml/2006/picture">
            <wp:extent cx="5580000" cy="4948302"/>
            <wp:docPr id="11" name="Picture 11"/>
            <wp:cNvGraphicFramePr>
              <a:graphicFrameLocks noChangeAspect="1"/>
            </wp:cNvGraphicFramePr>
            <a:graphic>
              <a:graphicData uri="http://schemas.openxmlformats.org/drawingml/2006/picture">
                <pic:pic>
                  <pic:nvPicPr>
                    <pic:cNvPr id="0" name="11_radar_stations.png"/>
                    <pic:cNvPicPr/>
                  </pic:nvPicPr>
                  <pic:blipFill>
                    <a:blip r:embed="rId23"/>
                    <a:stretch>
                      <a:fillRect/>
                    </a:stretch>
                  </pic:blipFill>
                  <pic:spPr>
                    <a:xfrm>
                      <a:off x="0" y="0"/>
                      <a:ext cx="5580000" cy="4948302"/>
                    </a:xfrm>
                    <a:prstGeom prst="rect"/>
                  </pic:spPr>
                </pic:pic>
              </a:graphicData>
            </a:graphic>
          </wp:inline>
        </w:drawing>
      </w:r>
    </w:p>
    <w:p>
      <w:pPr>
        <w:spacing w:after="200"/>
        <w:jc w:val="center"/>
      </w:pPr>
      <w:r>
        <w:rPr>
          <w:i/>
          <w:color w:val="595959"/>
          <w:sz w:val="19"/>
        </w:rPr>
        <w:t>Figure 5-6: Top 5 Stations — Multidimensional Profile Comparison (normalized 0–100%)</w:t>
      </w:r>
    </w:p>
    <w:p>
      <w:pPr>
        <w:pStyle w:val="Heading2"/>
      </w:pPr>
      <w:r>
        <w:t>5.7 Fault Theme Diagnosis (Text-Mined)</w:t>
      </w:r>
    </w:p>
    <w:p>
      <w:pPr>
        <w:spacing w:after="120"/>
        <w:jc w:val="both"/>
      </w:pPr>
      <w:r>
        <w:rPr>
          <w:b w:val="0"/>
          <w:i w:val="0"/>
          <w:sz w:val="22"/>
        </w:rPr>
        <w:t>A text-mining pass over the Fault_Desc field, normalized for case and whitespace, surfaces a small number of high-frequency fault families that account for a disproportionate share of incidents. The screwing-related cluster ("screwing not start", "screwing nok", "screwing not ok", "screwing gun not start") totals 75 events (19.7% of all records) and 25.65 downtime hours (24.1% of total) — making it the single largest fault family in the dataset and a clear candidate for a dedicated reliability improvement cell. The sensor cluster (suction connection sensor, valve sensor, LVDT) contributes 62 events and 14.97 hours, while the oil/lubrication cluster (oil not come, oil not spray) adds 28 events and 7.85 hours. The recurrence of identical fault descriptions — "SCREWING NOT START" appears 22 times across seven months — strongly suggests that current repair actions are addressing symptoms (restart the station) rather than root cause (bit wear, torque drift, control logic).</w:t>
      </w:r>
    </w:p>
    <w:p>
      <w:pPr>
        <w:jc w:val="center"/>
      </w:pPr>
      <w:r>
        <w:drawing>
          <wp:inline xmlns:a="http://schemas.openxmlformats.org/drawingml/2006/main" xmlns:pic="http://schemas.openxmlformats.org/drawingml/2006/picture">
            <wp:extent cx="5580000" cy="3274696"/>
            <wp:docPr id="12" name="Picture 12"/>
            <wp:cNvGraphicFramePr>
              <a:graphicFrameLocks noChangeAspect="1"/>
            </wp:cNvGraphicFramePr>
            <a:graphic>
              <a:graphicData uri="http://schemas.openxmlformats.org/drawingml/2006/picture">
                <pic:pic>
                  <pic:nvPicPr>
                    <pic:cNvPr id="0" name="05_top_faults.png"/>
                    <pic:cNvPicPr/>
                  </pic:nvPicPr>
                  <pic:blipFill>
                    <a:blip r:embed="rId24"/>
                    <a:stretch>
                      <a:fillRect/>
                    </a:stretch>
                  </pic:blipFill>
                  <pic:spPr>
                    <a:xfrm>
                      <a:off x="0" y="0"/>
                      <a:ext cx="5580000" cy="3274696"/>
                    </a:xfrm>
                    <a:prstGeom prst="rect"/>
                  </pic:spPr>
                </pic:pic>
              </a:graphicData>
            </a:graphic>
          </wp:inline>
        </w:drawing>
      </w:r>
    </w:p>
    <w:p>
      <w:pPr>
        <w:spacing w:after="200"/>
        <w:jc w:val="center"/>
      </w:pPr>
      <w:r>
        <w:rPr>
          <w:i/>
          <w:color w:val="595959"/>
          <w:sz w:val="19"/>
        </w:rPr>
        <w:t>Figure 5-7: Top 15 Recurring Fault Descriptions (Jan–Jul 2026)</w:t>
      </w:r>
    </w:p>
    <w:p>
      <w:pPr>
        <w:pStyle w:val="Heading2"/>
      </w:pPr>
      <w:r>
        <w:t>5.8 Fault Recurrence Funnel</w:t>
      </w:r>
    </w:p>
    <w:p>
      <w:pPr>
        <w:spacing w:after="120"/>
        <w:jc w:val="both"/>
      </w:pPr>
      <w:r>
        <w:rPr>
          <w:b w:val="0"/>
          <w:i w:val="0"/>
          <w:sz w:val="22"/>
        </w:rPr>
        <w:t>The funnel chart in Figure 5-8 visualizes the top eight recurring fault descriptions in descending order of frequency. The funnel shape itself is the diagnostic insight: if faults were randomly distributed, the funnel would taper gradually; instead, it drops sharply after the top three descriptions ("SCREWING NOT START" at 22 occurrences, "SCREWING NOK" at 14, and "OIL NOT COME" at 14). This sharp drop confirms that a small number of specific, named failure modes — not a long tail of diverse issues — are responsible for the bulk of recurring breakdowns. Eliminating just the top three fault descriptions would remove 50 events (13.2% of total) from the breakdown log. The funnel is the most actionable chart for maintenance supervisors because each row is a concrete, named problem that can be assigned to a specific engineer for root-cause investigation.</w:t>
      </w:r>
    </w:p>
    <w:p>
      <w:pPr>
        <w:jc w:val="center"/>
      </w:pPr>
      <w:r>
        <w:drawing>
          <wp:inline xmlns:a="http://schemas.openxmlformats.org/drawingml/2006/main" xmlns:pic="http://schemas.openxmlformats.org/drawingml/2006/picture">
            <wp:extent cx="5580000" cy="4367605"/>
            <wp:docPr id="13" name="Picture 13"/>
            <wp:cNvGraphicFramePr>
              <a:graphicFrameLocks noChangeAspect="1"/>
            </wp:cNvGraphicFramePr>
            <a:graphic>
              <a:graphicData uri="http://schemas.openxmlformats.org/drawingml/2006/picture">
                <pic:pic>
                  <pic:nvPicPr>
                    <pic:cNvPr id="0" name="15_funnel_faults.png"/>
                    <pic:cNvPicPr/>
                  </pic:nvPicPr>
                  <pic:blipFill>
                    <a:blip r:embed="rId25"/>
                    <a:stretch>
                      <a:fillRect/>
                    </a:stretch>
                  </pic:blipFill>
                  <pic:spPr>
                    <a:xfrm>
                      <a:off x="0" y="0"/>
                      <a:ext cx="5580000" cy="4367605"/>
                    </a:xfrm>
                    <a:prstGeom prst="rect"/>
                  </pic:spPr>
                </pic:pic>
              </a:graphicData>
            </a:graphic>
          </wp:inline>
        </w:drawing>
      </w:r>
    </w:p>
    <w:p>
      <w:pPr>
        <w:spacing w:after="200"/>
        <w:jc w:val="center"/>
      </w:pPr>
      <w:r>
        <w:rPr>
          <w:i/>
          <w:color w:val="595959"/>
          <w:sz w:val="19"/>
        </w:rPr>
        <w:t>Figure 5-8: Fault Recurrence Funnel — Top 8 Most Frequent Fault Descriptions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55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Fault Theme</w:t>
            </w:r>
          </w:p>
        </w:tc>
        <w:tc>
          <w:tcPr>
            <w:tcW w:type="dxa" w:w="124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Events</w:t>
            </w:r>
          </w:p>
        </w:tc>
        <w:tc>
          <w:tcPr>
            <w:tcW w:type="dxa" w:w="136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 Events</w:t>
            </w:r>
          </w:p>
        </w:tc>
        <w:tc>
          <w:tcPr>
            <w:tcW w:type="dxa" w:w="170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Downtime (hrs)</w:t>
            </w:r>
          </w:p>
        </w:tc>
        <w:tc>
          <w:tcPr>
            <w:tcW w:type="dxa" w:w="136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 Downtime</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Other</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184</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48.4%</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49.27</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46.2%</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Screwing-related</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75</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19.7%</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25.65</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24.1%</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Sensor</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62</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16.3%</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14.97</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14.0%</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Oil/Lubrication</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28</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7.4%</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7.85</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7.4%</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Air/Pneumatic</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17</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4.5%</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5.90</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5.5%</w:t>
            </w:r>
          </w:p>
        </w:tc>
      </w:tr>
      <w:tr>
        <w:tc>
          <w:tcPr>
            <w:tcW w:type="dxa" w:w="2551"/>
            <w:tcBorders>
              <w:top w:val="single" w:sz="4" w:color="BFBFBF"/>
              <w:left w:val="single" w:sz="4" w:color="BFBFBF"/>
              <w:bottom w:val="single" w:sz="4" w:color="BFBFBF"/>
              <w:right w:val="single" w:sz="4" w:color="BFBFBF"/>
            </w:tcBorders>
            <w:vAlign w:val="center"/>
          </w:tcPr>
          <w:p>
            <w:pPr>
              <w:jc w:val="left"/>
            </w:pPr>
            <w:r/>
            <w:r>
              <w:rPr>
                <w:sz w:val="19"/>
              </w:rPr>
              <w:t>Cycle Start</w:t>
            </w:r>
          </w:p>
        </w:tc>
        <w:tc>
          <w:tcPr>
            <w:tcW w:type="dxa" w:w="1247"/>
            <w:tcBorders>
              <w:top w:val="single" w:sz="4" w:color="BFBFBF"/>
              <w:left w:val="single" w:sz="4" w:color="BFBFBF"/>
              <w:bottom w:val="single" w:sz="4" w:color="BFBFBF"/>
              <w:right w:val="single" w:sz="4" w:color="BFBFBF"/>
            </w:tcBorders>
            <w:vAlign w:val="center"/>
          </w:tcPr>
          <w:p>
            <w:pPr>
              <w:jc w:val="center"/>
            </w:pPr>
            <w:r/>
            <w:r>
              <w:rPr>
                <w:sz w:val="19"/>
              </w:rPr>
              <w:t>14</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3.7%</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3.00</w:t>
            </w:r>
          </w:p>
        </w:tc>
        <w:tc>
          <w:tcPr>
            <w:tcW w:type="dxa" w:w="1361"/>
            <w:tcBorders>
              <w:top w:val="single" w:sz="4" w:color="BFBFBF"/>
              <w:left w:val="single" w:sz="4" w:color="BFBFBF"/>
              <w:bottom w:val="single" w:sz="4" w:color="BFBFBF"/>
              <w:right w:val="single" w:sz="4" w:color="BFBFBF"/>
            </w:tcBorders>
            <w:vAlign w:val="center"/>
          </w:tcPr>
          <w:p>
            <w:pPr>
              <w:jc w:val="center"/>
            </w:pPr>
            <w:r/>
            <w:r>
              <w:rPr>
                <w:sz w:val="19"/>
              </w:rPr>
              <w:t>2.8%</w:t>
            </w:r>
          </w:p>
        </w:tc>
      </w:tr>
    </w:tbl>
    <w:p>
      <w:pPr>
        <w:spacing w:after="120"/>
        <w:jc w:val="left"/>
      </w:pPr>
      <w:r>
        <w:rPr>
          <w:b w:val="0"/>
          <w:i/>
          <w:color w:val="595959"/>
          <w:sz w:val="19"/>
        </w:rPr>
        <w:t>Table 5-2: Fault theme grouping based on text-mined Fault_Desc keywords.</w:t>
      </w:r>
    </w:p>
    <w:p>
      <w:pPr>
        <w:pStyle w:val="Heading2"/>
      </w:pPr>
      <w:r>
        <w:t>5.9 Severity Distribution &amp; Long-Tail Leverage</w:t>
      </w:r>
    </w:p>
    <w:p>
      <w:pPr>
        <w:spacing w:after="120"/>
        <w:jc w:val="both"/>
      </w:pPr>
      <w:r>
        <w:rPr>
          <w:b w:val="0"/>
          <w:i w:val="0"/>
          <w:sz w:val="22"/>
        </w:rPr>
        <w:t>The downtime-severity distribution in Figure 5-9 is the most actionable chart in this report. Of 380 total events, 231 (60.8%) lasted less than 30 minutes and 94 (24.7%) recorded zero downtime — these are the "background noise" of brief restarts and quick fixes. At the other end, only 20 events (5.3%) lasted 60 minutes or more, yet these few events alone produced roughly 30% of all downtime hours. This is the classic Pareto-in-the-tail pattern and it has a direct strategic implication: the highest-return reliability intervention is not to reduce the total number of breakdowns but to reduce the frequency and duration of long-duration breakdowns. A 50% reduction in 60+ minute events would cut total downtime by approximately 15% — far more than a 50% reduction in 1–9 minute events, which would barely move the needle. The table below lists the ten longest events in the dataset; eight of the ten occurred at Station 85, confirming it as the long-tail epicenter.</w:t>
      </w:r>
    </w:p>
    <w:p>
      <w:pPr>
        <w:jc w:val="center"/>
      </w:pPr>
      <w:r>
        <w:drawing>
          <wp:inline xmlns:a="http://schemas.openxmlformats.org/drawingml/2006/main" xmlns:pic="http://schemas.openxmlformats.org/drawingml/2006/picture">
            <wp:extent cx="5580000" cy="2467684"/>
            <wp:docPr id="14" name="Picture 14"/>
            <wp:cNvGraphicFramePr>
              <a:graphicFrameLocks noChangeAspect="1"/>
            </wp:cNvGraphicFramePr>
            <a:graphic>
              <a:graphicData uri="http://schemas.openxmlformats.org/drawingml/2006/picture">
                <pic:pic>
                  <pic:nvPicPr>
                    <pic:cNvPr id="0" name="06_severity.png"/>
                    <pic:cNvPicPr/>
                  </pic:nvPicPr>
                  <pic:blipFill>
                    <a:blip r:embed="rId26"/>
                    <a:stretch>
                      <a:fillRect/>
                    </a:stretch>
                  </pic:blipFill>
                  <pic:spPr>
                    <a:xfrm>
                      <a:off x="0" y="0"/>
                      <a:ext cx="5580000" cy="2467684"/>
                    </a:xfrm>
                    <a:prstGeom prst="rect"/>
                  </pic:spPr>
                </pic:pic>
              </a:graphicData>
            </a:graphic>
          </wp:inline>
        </w:drawing>
      </w:r>
    </w:p>
    <w:p>
      <w:pPr>
        <w:spacing w:after="200"/>
        <w:jc w:val="center"/>
      </w:pPr>
      <w:r>
        <w:rPr>
          <w:i/>
          <w:color w:val="595959"/>
          <w:sz w:val="19"/>
        </w:rPr>
        <w:t>Figure 5-9: Downtime Severity Distribution — Event Count and Hours by Bucket</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41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Date</w:t>
            </w:r>
          </w:p>
        </w:tc>
        <w:tc>
          <w:tcPr>
            <w:tcW w:type="dxa" w:w="141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Station</w:t>
            </w:r>
          </w:p>
        </w:tc>
        <w:tc>
          <w:tcPr>
            <w:tcW w:type="dxa" w:w="141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Fault Type</w:t>
            </w:r>
          </w:p>
        </w:tc>
        <w:tc>
          <w:tcPr>
            <w:tcW w:type="dxa" w:w="2835"/>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Fault Description</w:t>
            </w:r>
          </w:p>
        </w:tc>
        <w:tc>
          <w:tcPr>
            <w:tcW w:type="dxa" w:w="141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Duration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04-Feb-2026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85</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Mechanical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OIL  NOT COME</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219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29-Jun-2026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70</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Mechanical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 xml:space="preserve">AIR LEAKAGE </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180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23-Jan-2026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85</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Electrical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slider poka yoke  not working</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160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11-Jul-2026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85</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Electrical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screwing gun not start</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140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06-Jan-2026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85</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Mechanical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screwing not start</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120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27-May-2026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15</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Mechanical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 xml:space="preserve">MASTER NOK ( LVDT NOK) </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120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26-Apr-2026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110</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Mechanical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TOOLING NOT UNLOCK</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119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03-Jun-2026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85</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Mechanical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 xml:space="preserve">SCREWING NOK </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108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03-Jun-2026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85</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Electrical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camera check not ok</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90 min</w:t>
            </w:r>
          </w:p>
        </w:tc>
      </w:tr>
      <w:tr>
        <w:tc>
          <w:tcPr>
            <w:tcW w:type="dxa" w:w="1417"/>
            <w:tcBorders>
              <w:top w:val="single" w:sz="4" w:color="BFBFBF"/>
              <w:left w:val="single" w:sz="4" w:color="BFBFBF"/>
              <w:bottom w:val="single" w:sz="4" w:color="BFBFBF"/>
              <w:right w:val="single" w:sz="4" w:color="BFBFBF"/>
            </w:tcBorders>
            <w:vAlign w:val="center"/>
          </w:tcPr>
          <w:p>
            <w:pPr>
              <w:jc w:val="left"/>
            </w:pPr>
            <w:r/>
            <w:r>
              <w:rPr>
                <w:sz w:val="19"/>
              </w:rPr>
              <w:t>15-Mar-2026</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Station 85</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Mechanical</w:t>
            </w:r>
          </w:p>
        </w:tc>
        <w:tc>
          <w:tcPr>
            <w:tcW w:type="dxa" w:w="2835"/>
            <w:tcBorders>
              <w:top w:val="single" w:sz="4" w:color="BFBFBF"/>
              <w:left w:val="single" w:sz="4" w:color="BFBFBF"/>
              <w:bottom w:val="single" w:sz="4" w:color="BFBFBF"/>
              <w:right w:val="single" w:sz="4" w:color="BFBFBF"/>
            </w:tcBorders>
            <w:vAlign w:val="center"/>
          </w:tcPr>
          <w:p>
            <w:pPr>
              <w:jc w:val="center"/>
            </w:pPr>
            <w:r/>
            <w:r>
              <w:rPr>
                <w:sz w:val="19"/>
              </w:rPr>
              <w:t xml:space="preserve">screwing nok </w:t>
            </w:r>
          </w:p>
        </w:tc>
        <w:tc>
          <w:tcPr>
            <w:tcW w:type="dxa" w:w="1417"/>
            <w:tcBorders>
              <w:top w:val="single" w:sz="4" w:color="BFBFBF"/>
              <w:left w:val="single" w:sz="4" w:color="BFBFBF"/>
              <w:bottom w:val="single" w:sz="4" w:color="BFBFBF"/>
              <w:right w:val="single" w:sz="4" w:color="BFBFBF"/>
            </w:tcBorders>
            <w:vAlign w:val="center"/>
          </w:tcPr>
          <w:p>
            <w:pPr>
              <w:jc w:val="center"/>
            </w:pPr>
            <w:r/>
            <w:r>
              <w:rPr>
                <w:sz w:val="19"/>
              </w:rPr>
              <w:t>80 min</w:t>
            </w:r>
          </w:p>
        </w:tc>
      </w:tr>
    </w:tbl>
    <w:p>
      <w:pPr>
        <w:spacing w:after="120"/>
        <w:jc w:val="left"/>
      </w:pPr>
      <w:r>
        <w:rPr>
          <w:b w:val="0"/>
          <w:i/>
          <w:color w:val="595959"/>
          <w:sz w:val="19"/>
        </w:rPr>
        <w:t>Table 5-3: Top 10 longest breakdown events — 8 of 10 occurred at Station 85.</w:t>
      </w:r>
    </w:p>
    <w:p>
      <w:pPr>
        <w:pStyle w:val="Heading2"/>
      </w:pPr>
      <w:r>
        <w:t>5.10 Station × Month Heatmap — Hotspots Over Time</w:t>
      </w:r>
    </w:p>
    <w:p>
      <w:pPr>
        <w:spacing w:after="120"/>
        <w:jc w:val="both"/>
      </w:pPr>
      <w:r>
        <w:rPr>
          <w:b w:val="0"/>
          <w:i w:val="0"/>
          <w:sz w:val="22"/>
        </w:rPr>
        <w:t>The station-by-month heatmap in Figure 5-10 tracks how failure concentrations have migrated across stations over the seven-month window. The most striking pattern is the persistence of Station 85 as a hotspot — its row is consistently dark across all seven months, with peaks in January (15 events) and June (13). Station 15 shows a similar persistent pattern with elevated counts in March, June, and July. Station 70, by contrast, shows a clear shift: it was relatively quiet in January–April (1–5 events per month) but exploded in July (29 events), making it the new epicenter of failure activity. This shift is critically important — it suggests that whatever countermeasures were applied to Station 85 may have begun to take effect in July, but Station 70 has simultaneously emerged as a new hotspot that was not previously on the radar. Stations 130, 140, and 90 show sporadic, low-volume activity that does not warrant dedicated intervention at this time.</w:t>
      </w:r>
    </w:p>
    <w:p>
      <w:pPr>
        <w:jc w:val="center"/>
      </w:pPr>
      <w:r>
        <w:drawing>
          <wp:inline xmlns:a="http://schemas.openxmlformats.org/drawingml/2006/main" xmlns:pic="http://schemas.openxmlformats.org/drawingml/2006/picture">
            <wp:extent cx="5580000" cy="3116724"/>
            <wp:docPr id="15" name="Picture 15"/>
            <wp:cNvGraphicFramePr>
              <a:graphicFrameLocks noChangeAspect="1"/>
            </wp:cNvGraphicFramePr>
            <a:graphic>
              <a:graphicData uri="http://schemas.openxmlformats.org/drawingml/2006/picture">
                <pic:pic>
                  <pic:nvPicPr>
                    <pic:cNvPr id="0" name="16_heatmap_month_station.png"/>
                    <pic:cNvPicPr/>
                  </pic:nvPicPr>
                  <pic:blipFill>
                    <a:blip r:embed="rId27"/>
                    <a:stretch>
                      <a:fillRect/>
                    </a:stretch>
                  </pic:blipFill>
                  <pic:spPr>
                    <a:xfrm>
                      <a:off x="0" y="0"/>
                      <a:ext cx="5580000" cy="3116724"/>
                    </a:xfrm>
                    <a:prstGeom prst="rect"/>
                  </pic:spPr>
                </pic:pic>
              </a:graphicData>
            </a:graphic>
          </wp:inline>
        </w:drawing>
      </w:r>
    </w:p>
    <w:p>
      <w:pPr>
        <w:spacing w:after="200"/>
        <w:jc w:val="center"/>
      </w:pPr>
      <w:r>
        <w:rPr>
          <w:i/>
          <w:color w:val="595959"/>
          <w:sz w:val="19"/>
        </w:rPr>
        <w:t>Figure 5-10: Heatmap — Top 10 Stations × Month (Failure Hotspots Over Time)</w:t>
      </w:r>
    </w:p>
    <w:p>
      <w:pPr>
        <w:pStyle w:val="Heading2"/>
      </w:pPr>
      <w:r>
        <w:t>5.11 Temporal Pattern Diagnosis</w:t>
      </w:r>
    </w:p>
    <w:p>
      <w:pPr>
        <w:spacing w:after="120"/>
        <w:jc w:val="both"/>
      </w:pPr>
      <w:r>
        <w:rPr>
          <w:b w:val="0"/>
          <w:i w:val="0"/>
          <w:sz w:val="22"/>
        </w:rPr>
        <w:t>Two temporal patterns merit attention. The weekday distribution shows Tuesday and Wednesday as the highest-event days (75 and 67 events respectively, versus a Monday–Friday average of 64), with Sunday the lowest (18 events) — consistent with reduced or no production on Sundays. The Tuesday-Wednesday peak could reflect cumulative wear after the Monday restart, or shift-handover effects; either hypothesis would need shift-level data to confirm. The hour-of-day distribution shows a clear concentration in the 06:00–09:00 window (129 events in those four hours, 34% of all events), with a peak at 08:00 (55 events). This is a classic shift-startup signature: stations are cold-started, setpoints are re-established, and intermittent faults surface during the first hour of production. A structured first-hour readiness check (pre-start checklist, automated setpoint verification) could meaningfully reduce this peak.</w:t>
      </w:r>
    </w:p>
    <w:p>
      <w:pPr>
        <w:jc w:val="center"/>
      </w:pPr>
      <w:r>
        <w:drawing>
          <wp:inline xmlns:a="http://schemas.openxmlformats.org/drawingml/2006/main" xmlns:pic="http://schemas.openxmlformats.org/drawingml/2006/picture">
            <wp:extent cx="5580000" cy="2444682"/>
            <wp:docPr id="16" name="Picture 16"/>
            <wp:cNvGraphicFramePr>
              <a:graphicFrameLocks noChangeAspect="1"/>
            </wp:cNvGraphicFramePr>
            <a:graphic>
              <a:graphicData uri="http://schemas.openxmlformats.org/drawingml/2006/picture">
                <pic:pic>
                  <pic:nvPicPr>
                    <pic:cNvPr id="0" name="08_temporal.png"/>
                    <pic:cNvPicPr/>
                  </pic:nvPicPr>
                  <pic:blipFill>
                    <a:blip r:embed="rId28"/>
                    <a:stretch>
                      <a:fillRect/>
                    </a:stretch>
                  </pic:blipFill>
                  <pic:spPr>
                    <a:xfrm>
                      <a:off x="0" y="0"/>
                      <a:ext cx="5580000" cy="2444682"/>
                    </a:xfrm>
                    <a:prstGeom prst="rect"/>
                  </pic:spPr>
                </pic:pic>
              </a:graphicData>
            </a:graphic>
          </wp:inline>
        </w:drawing>
      </w:r>
    </w:p>
    <w:p>
      <w:pPr>
        <w:spacing w:after="200"/>
        <w:jc w:val="center"/>
      </w:pPr>
      <w:r>
        <w:rPr>
          <w:i/>
          <w:color w:val="595959"/>
          <w:sz w:val="19"/>
        </w:rPr>
        <w:t>Figure 5-11: Temporal Patterns — Weekday and Hour-of-Day Distribution</w:t>
      </w:r>
    </w:p>
    <w:p>
      <w:r>
        <w:br w:type="page"/>
      </w:r>
    </w:p>
    <w:p>
      <w:pPr>
        <w:pStyle w:val="Heading1"/>
      </w:pPr>
      <w:r>
        <w:t>6. Insights &amp; Action Plan</w:t>
      </w:r>
    </w:p>
    <w:p>
      <w:pPr>
        <w:pStyle w:val="Heading2"/>
      </w:pPr>
      <w:r>
        <w:t>6.1 Strategic Insights</w:t>
      </w:r>
    </w:p>
    <w:p>
      <w:pPr>
        <w:spacing w:after="120"/>
        <w:jc w:val="both"/>
      </w:pPr>
      <w:r>
        <w:rPr>
          <w:b w:val="0"/>
          <w:i w:val="0"/>
          <w:sz w:val="22"/>
        </w:rPr>
        <w:t>Synthesizing the visual and quantitative evidence from Sections 3 through 5, four strategic insights emerge that should shape the reliability roadmap for the Technomatic 2 line. These insights are stated as falsifiable hypotheses so that the maintenance team can validate or refute them through targeted investigation over the next 30–60 days. Each insight is anchored in evidence visible across multiple charts in this report — the multi-chart corroboration is itself a form of triangulation that increases confidence in the conclusions.</w:t>
      </w:r>
    </w:p>
    <w:p>
      <w:pPr>
        <w:pStyle w:val="ListBullet"/>
        <w:spacing w:after="80"/>
      </w:pPr>
      <w:r>
        <w:rPr>
          <w:b/>
          <w:sz w:val="22"/>
        </w:rPr>
        <w:t>Insight 1 — Station 85 is a structural, not random, hotspot</w:t>
      </w:r>
      <w:r>
        <w:rPr>
          <w:sz w:val="22"/>
        </w:rPr>
        <w:t xml:space="preserve"> — Station 85 is over-represented on every dimension visible in the radar (Figure 5-6) and bubble chart (Figure 4-3): 31.6% of events, 39.9% of downtime, and 8 of the 10 longest breakdowns. No reliability program can be cost-effective without addressing this single asset first. The fault mix (43 Electrical, 29 Mechanical, 25 Production) suggests systemic issues across the station's screwing-and-camera subsystem rather than a single broken component.</w:t>
      </w:r>
    </w:p>
    <w:p>
      <w:pPr>
        <w:pStyle w:val="ListBullet"/>
        <w:spacing w:after="80"/>
      </w:pPr>
      <w:r>
        <w:rPr>
          <w:b/>
          <w:sz w:val="22"/>
        </w:rPr>
        <w:t>Insight 2 — The screwing subsystem has a recurring failure pattern, not random failures</w:t>
      </w:r>
      <w:r>
        <w:rPr>
          <w:sz w:val="22"/>
        </w:rPr>
        <w:t xml:space="preserve"> — The 22 occurrences of "SCREWING NOT START" (visible in both Figure 5-7 and the funnel in Figure 5-8) and 14 of "SCREWING NOK" are too frequent to be independent events. The most likely root causes are screw-bit wear, torque drift, screw-feed jamming, or camera-check false rejects. The current repair action (restart the station) does not address any of these, which is why the same fault recurs within days or weeks.</w:t>
      </w:r>
    </w:p>
    <w:p>
      <w:pPr>
        <w:pStyle w:val="ListBullet"/>
        <w:spacing w:after="80"/>
      </w:pPr>
      <w:r>
        <w:rPr>
          <w:b/>
          <w:sz w:val="22"/>
        </w:rPr>
        <w:t>Insight 3 — Maintenance data quality is masking true performance</w:t>
      </w:r>
      <w:r>
        <w:rPr>
          <w:sz w:val="22"/>
        </w:rPr>
        <w:t xml:space="preserve"> — 94 zero-minute events and 23 misclassified Planned Maintenance records mean that current MTTR and event-count KPIs are not reliable. Decisions made on these KPIs (e.g., "May was a good month because event count fell") may be confounded by data-entry behavior rather than true reliability change.</w:t>
      </w:r>
    </w:p>
    <w:p>
      <w:pPr>
        <w:pStyle w:val="ListBullet"/>
        <w:spacing w:after="80"/>
      </w:pPr>
      <w:r>
        <w:rPr>
          <w:b/>
          <w:sz w:val="22"/>
        </w:rPr>
        <w:t>Insight 4 — Severity, not frequency, is the dominant variance driver</w:t>
      </w:r>
      <w:r>
        <w:rPr>
          <w:sz w:val="22"/>
        </w:rPr>
        <w:t xml:space="preserve"> — The May-to-June swing (+92% downtime on +33% events) and the 30% of total downtime in the top 5% of events (Figure 5-9) both show that a small number of complex failures drive most of the loss. The reliability program should prioritize reducing the frequency and duration of 60+ minute events over reducing total event count.</w:t>
      </w:r>
    </w:p>
    <w:p>
      <w:pPr>
        <w:pStyle w:val="ListBullet"/>
        <w:spacing w:after="80"/>
      </w:pPr>
      <w:r>
        <w:rPr>
          <w:b/>
          <w:sz w:val="22"/>
        </w:rPr>
        <w:t>Insight 5 — Station 70 is the emerging July hotspot</w:t>
      </w:r>
      <w:r>
        <w:rPr>
          <w:sz w:val="22"/>
        </w:rPr>
        <w:t xml:space="preserve"> — The station-by-month heatmap (Figure 5-10) shows Station 70 jumping from 1–5 events per month (Jan–Apr) to 29 events in July. This is a leading indicator of an emerging new hotspot that requires immediate investigation before it consumes the reliability budget that should be going to Station 85.</w:t>
      </w:r>
    </w:p>
    <w:p>
      <w:pPr>
        <w:pStyle w:val="Heading2"/>
      </w:pPr>
      <w:r>
        <w:t>6.2 Prioritized Action Plan</w:t>
      </w:r>
    </w:p>
    <w:p>
      <w:pPr>
        <w:spacing w:after="120"/>
        <w:jc w:val="both"/>
      </w:pPr>
      <w:r>
        <w:rPr>
          <w:b w:val="0"/>
          <w:i w:val="0"/>
          <w:sz w:val="22"/>
        </w:rPr>
        <w:t>The action plan below is structured by priority (P1 = next 30 days, P2 = 31–60 days, P3 = 61–90 days). Each item specifies the expected impact, the responsible function, the validation method, and the key risk. Recommendations are sequenced so that quick-win diagnostic actions precede capital-intensive interventions, and so that early actions generate the evidence needed to justify later ones.</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Priority</w:t>
            </w:r>
          </w:p>
        </w:tc>
        <w:tc>
          <w:tcPr>
            <w:tcW w:type="dxa" w:w="3118"/>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Action</w:t>
            </w:r>
          </w:p>
        </w:tc>
        <w:tc>
          <w:tcPr>
            <w:tcW w:type="dxa" w:w="181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Expected Impact</w:t>
            </w:r>
          </w:p>
        </w:tc>
        <w:tc>
          <w:tcPr>
            <w:tcW w:type="dxa" w:w="170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Validation</w:t>
            </w:r>
          </w:p>
        </w:tc>
        <w:tc>
          <w:tcPr>
            <w:tcW w:type="dxa" w:w="170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Risk</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P1</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Station 85 RCFA deep-dive: pull work orders for all 120 events; cluster by fault family; identify top 3 root causes for screwing-not-start and oil-not-come</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Cut Station 85 events by 40% (~48 events, ~17 hrs saved)</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30-day before/after event count at Station 85</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RCA inconclusive if Action field stays truncated</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P1</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Screwing Reliability Cell: cross-functional team (maintenance + process + quality) to define torque-bit lifecycle, replacement schedule, and pre-start function check</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Cut screwing-themed events by 30% (~22 events, ~8 hrs saved)</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Weekly screwing-fault count trend; bit replacement compliance audit</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Production may resist added pre-start checks if not time-boxed</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P1</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Maintenance data-capture reform: enforce mandatory Actual_Time entry; separate Planned Maintenance register; add 0-minute exception flag with reason code</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Restore trust in MTTR / event-count KPIs; eliminate 94 ambiguous records</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Monthly audit: &lt;5% zero-minute events; 100% Planned Maintenance in separate register</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Technician adoption requires training and supervisor reinforcement</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P1</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Station 70 emergency review: investigate the July surge (29 events) — check for new tooling install, product changeover, or supplier change that may have triggered the spike</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Prevent Station 70 from becoming the next Station 85</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60-day event count at Station 70 vs July baseline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Root cause may require capital investment if tooling wear is confirmed</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P2</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Long-tail event review: for each 60+ minute event, validate that root cause is documented and a countermeasure is in place</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Reduce 60+ min events by 50% (10 events avoided, ~15 hrs saved)</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Quarterly count of 60+ min events; mean-time-to-repair for tail events</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Countermeasures may require spare-parts investment</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P2</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Shift-startup readiness protocol: implement a 10-minute pre-start checklist at 06:00 covering all stations; automate setpoint verification where possible</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Cut 06:00–09:00 events by 25% (~32 events, ~6 hrs saved)</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Monthly hour-of-day distribution comparison</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Checklist fatigue if not integrated into MES</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P2</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Electrical fault supplier review: identify repeat part numbers / suppliers in the 133 Electrical events; engage supplier quality engineering</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Cut Electrical events by 15% (~20 events, ~6.5 hrs saved)</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Quarterly Electrical event count and supplier-scorecard trend</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Supplier change may not be feasible for single-source components</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P3</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Station 70 tooling refresh: based on the 3 Fixture events and 12 Mechanical events at Station 70, schedule a tooling inspection and refresh</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Cut Station 70 events by 20% (~12 events, ~3 hrs saved)</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60-day event count at Station 70</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Production downtime required for tooling change</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P3</w:t>
            </w:r>
          </w:p>
        </w:tc>
        <w:tc>
          <w:tcPr>
            <w:tcW w:type="dxa" w:w="3118"/>
            <w:tcBorders>
              <w:top w:val="single" w:sz="4" w:color="BFBFBF"/>
              <w:left w:val="single" w:sz="4" w:color="BFBFBF"/>
              <w:bottom w:val="single" w:sz="4" w:color="BFBFBF"/>
              <w:right w:val="single" w:sz="4" w:color="BFBFBF"/>
            </w:tcBorders>
            <w:vAlign w:val="center"/>
          </w:tcPr>
          <w:p>
            <w:pPr>
              <w:jc w:val="center"/>
            </w:pPr>
            <w:r/>
            <w:r>
              <w:rPr>
                <w:sz w:val="19"/>
              </w:rPr>
              <w:t>Reliability dashboard: build a live dashboard (MTBF, MTTR, top-3 stations, top-3 fault themes) refreshed weekly from the breakdown log</w:t>
            </w:r>
          </w:p>
        </w:tc>
        <w:tc>
          <w:tcPr>
            <w:tcW w:type="dxa" w:w="1814"/>
            <w:tcBorders>
              <w:top w:val="single" w:sz="4" w:color="BFBFBF"/>
              <w:left w:val="single" w:sz="4" w:color="BFBFBF"/>
              <w:bottom w:val="single" w:sz="4" w:color="BFBFBF"/>
              <w:right w:val="single" w:sz="4" w:color="BFBFBF"/>
            </w:tcBorders>
            <w:vAlign w:val="center"/>
          </w:tcPr>
          <w:p>
            <w:pPr>
              <w:jc w:val="center"/>
            </w:pPr>
            <w:r/>
            <w:r>
              <w:rPr>
                <w:sz w:val="19"/>
              </w:rPr>
              <w:t>Sustain gains; surface new hotspots within 1 week of onset</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Dashboard adoption by maintenance and production leads</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Dashboard becomes shelfware if not tied to standing review meeting</w:t>
            </w:r>
          </w:p>
        </w:tc>
      </w:tr>
    </w:tbl>
    <w:p>
      <w:pPr>
        <w:pStyle w:val="Heading2"/>
      </w:pPr>
      <w:r>
        <w:t>6.3 Expected Cumulative Impact</w:t>
      </w:r>
    </w:p>
    <w:p>
      <w:pPr>
        <w:spacing w:after="120"/>
        <w:jc w:val="both"/>
      </w:pPr>
      <w:r>
        <w:rPr>
          <w:b w:val="0"/>
          <w:i w:val="0"/>
          <w:sz w:val="22"/>
        </w:rPr>
        <w:t>If the P1 and P2 actions are executed as described, the conservative expected downtime reduction is approximately 32 hours over a six-month horizon — a 30% reduction relative to the 53 hours of downtime recorded in the comparable first six months of 2026 (Jan–Jun). The largest single contribution comes from the Station 85 RCFA (17 hours), followed by the Screwing Reliability Cell (8 hours), the long-tail event review (15 hours, partially overlapping with Station 85), and the shift-startup protocol (6 hours). These estimates assume the lower bound of the impact ranges; upside scenarios where countermeasures fully eliminate recurrence could deliver 40–50% downtime reduction. The estimates do not include second-order benefits such as reduced scrap, improved OEE, or freed maintenance capacity, which would further improve the business case for the recommended actions.</w:t>
      </w:r>
    </w:p>
    <w:p>
      <w:r>
        <w:br w:type="page"/>
      </w:r>
    </w:p>
    <w:p>
      <w:pPr>
        <w:pStyle w:val="Heading1"/>
      </w:pPr>
      <w:r>
        <w:t>7. Uncertainty Statement &amp; Limitations</w:t>
      </w:r>
    </w:p>
    <w:p>
      <w:pPr>
        <w:pStyle w:val="Heading2"/>
      </w:pPr>
      <w:r>
        <w:t>7.1 Data Limitations</w:t>
      </w:r>
    </w:p>
    <w:p>
      <w:pPr>
        <w:spacing w:after="120"/>
        <w:jc w:val="both"/>
      </w:pPr>
      <w:r>
        <w:rPr>
          <w:b w:val="0"/>
          <w:i w:val="0"/>
          <w:sz w:val="22"/>
        </w:rPr>
        <w:t>Three data limitations bound the certainty of the conclusions in this report and should be transparent to readers. First, the Action field is truncated in the source extract (e.g., "Check screwing not ok so resta…") and frequently records only "-Not informed." — this prevented systematic root-cause text mining and forced the analysis to rely on the cleaner Fault_Desc field for theme grouping. Access to the full Action text would materially strengthen the RCFA evidence chain. Second, the dataset does not include production volume, line speed, or good-parts-produced context, so downtime hours cannot be translated into lost units or financial impact; this report therefore reports downtime in hours only and avoids estimating unit or revenue loss. Third, no shift identifier is present, so the hour-of-day pattern in Figure 5-11 is a proxy for shift pattern but cannot be definitively attributed to a specific crew or shift handover without supplementary data.</w:t>
      </w:r>
    </w:p>
    <w:p>
      <w:pPr>
        <w:pStyle w:val="Heading2"/>
      </w:pPr>
      <w:r>
        <w:t>7.2 Analytical Limitations</w:t>
      </w:r>
    </w:p>
    <w:p>
      <w:pPr>
        <w:spacing w:after="120"/>
        <w:jc w:val="both"/>
      </w:pPr>
      <w:r>
        <w:rPr>
          <w:b w:val="0"/>
          <w:i w:val="0"/>
          <w:sz w:val="22"/>
        </w:rPr>
        <w:t>Two analytical limitations are worth flagging. First, no prior-year (2025) data was available, so year-over-year comparison is not possible — the MoM and WoW comparisons in Section 4 are the strongest temporal signals available but cannot distinguish a 2026-specific deterioration from a recurring seasonal pattern. Acquiring 2025 breakdown logs for the same line should be a priority for the next reporting cycle. Second, the "MTBF" metric typically requires operating hours (or production cycles) as the denominator; in the absence of operating-hours data, this report uses calendar time and event counts as proxies, which overstates MTBF if the line was not running and understates it during high-utilization periods. True MTBF and OEE-impact calculations require production-schedule data that was not included in the source file.</w:t>
      </w:r>
    </w:p>
    <w:p>
      <w:pPr>
        <w:pStyle w:val="Heading2"/>
      </w:pPr>
      <w:r>
        <w:t>7.3 Biases &amp; Interpretive Risks</w:t>
      </w:r>
    </w:p>
    <w:p>
      <w:pPr>
        <w:spacing w:after="120"/>
        <w:jc w:val="both"/>
      </w:pPr>
      <w:r>
        <w:rPr>
          <w:b w:val="0"/>
          <w:i w:val="0"/>
          <w:sz w:val="22"/>
        </w:rPr>
        <w:t>The most material interpretive risk is the zero-downtime event issue discussed in Section 2.4. If a meaningful share of the 94 zero-minute events were in fact short breakdowns that the technician did not time, then the reported mean downtime (16.8 min) is overstated and the event count is understated relative to true breakdown frequency. Conversely, if many zero-minute events were non-breakdown log entries (e.g., operator information notes), then the event count is overstated. Either direction of bias affects the cross-station and cross-month comparisons. A second interpretive risk is survivorship bias in the fault-theme analysis: the themes surfaced in Section 5.7 are necessarily limited to the language used by the maintenance team in the Fault_Desc field — a failure mode that is described inconsistently (e.g., "PLC fault" vs "controller error" vs "program issue") would be split across multiple themes and under-counted. A standardized fault-description taxonomy would substantially improve the reliability of theme analysis in future reports.</w:t>
      </w:r>
    </w:p>
    <w:p>
      <w:pPr>
        <w:pStyle w:val="Heading2"/>
      </w:pPr>
      <w:r>
        <w:t>7.4 Recommended Next Validation Steps</w:t>
      </w:r>
    </w:p>
    <w:p>
      <w:pPr>
        <w:spacing w:after="120"/>
        <w:jc w:val="both"/>
      </w:pPr>
      <w:r>
        <w:rPr>
          <w:b w:val="0"/>
          <w:i w:val="0"/>
          <w:sz w:val="22"/>
        </w:rPr>
        <w:t>To convert this analysis from a descriptive report into a confirmed action plan, three validation steps should be completed within the next 30 days. First, pull the full Action text and any linked work orders for the 120 Station 85 events to validate the hypothesis that screwing-bit wear and oil-supply issues are the dominant root causes — this is the single highest-value follow-up activity. Second, conduct a one-week time-and-motion study at Station 85 to confirm that the 22 "SCREWING NOT START" events are indeed the same failure mode and to estimate the true downtime cost per occurrence (including scrap and operator idle time). Third, reconcile the breakdown log against the production schedule for June and July to confirm whether the June downtime spike and July Station 70 surge were correlated with a specific production ramp, product changeover, or operator-crew change that would explain the severity shift. The results of these three validations should be documented in a follow-up memo and used to refine the P1 action items in Section 6.2 before capital is committed.</w:t>
      </w:r>
    </w:p>
    <w:p>
      <w:r>
        <w:br w:type="page"/>
      </w:r>
    </w:p>
    <w:p>
      <w:pPr>
        <w:pStyle w:val="Heading1"/>
      </w:pPr>
      <w:r>
        <w:t>Appendix A: Chart Index</w:t>
      </w:r>
    </w:p>
    <w:p>
      <w:pPr>
        <w:spacing w:after="120"/>
        <w:jc w:val="both"/>
      </w:pPr>
      <w:r>
        <w:rPr>
          <w:b w:val="0"/>
          <w:i w:val="0"/>
          <w:sz w:val="22"/>
        </w:rPr>
        <w:t>This Visual Diagnostic Edition embeds sixteen charts distributed across the seven-step analytical workflow. The index below lists each chart with its figure number, title, the section in which it appears, and the analytical question it answers. Readers can use this index to navigate directly to the visual evidence supporting any specific conclusion in the report.</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Figure</w:t>
            </w:r>
          </w:p>
        </w:tc>
        <w:tc>
          <w:tcPr>
            <w:tcW w:type="dxa" w:w="2268"/>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Chart Title</w:t>
            </w:r>
          </w:p>
        </w:tc>
        <w:tc>
          <w:tcPr>
            <w:tcW w:type="dxa" w:w="79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Section</w:t>
            </w:r>
          </w:p>
        </w:tc>
        <w:tc>
          <w:tcPr>
            <w:tcW w:type="dxa" w:w="170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Chart Type</w:t>
            </w:r>
          </w:p>
        </w:tc>
        <w:tc>
          <w:tcPr>
            <w:tcW w:type="dxa" w:w="3288"/>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Question Answered</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3-1</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Monthly Events vs Downtime</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3.2</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Combination Bar+Line</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How does monthly downtime track event count?</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3-2</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Cumulative Downtime Build-Up</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3.3</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Cumulative Area</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What is the running total of downtime over time?</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4-1</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Weekly WoW Trend</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4.2</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Bar+Line Combo</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What is the short-cycle variability?</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4-2</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Pareto by Station</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4.3</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Pareto Bar+Cumulative Line</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Which few stations drive most events?</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4-3</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Station Bubble Profile</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4.4</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Scatter/Bubble</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How do frequency, total impact, and severity trade off?</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5-1</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Fault Type Frequency vs Downtime</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5.1</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Dual Horizontal Bar</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Which fault types drive events vs downtime?</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5-2</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Fault Type Donut</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5.2</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Donut</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What is the share-of-total composition?</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5-3</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Station × Fault Heatmap</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5.3</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Heatmap</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Where do specific fault types cluster?</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5-4</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Station Fault Mix (Share)</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5.4</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Horizontal Stacked %</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What is each station's failure signature?</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5-5</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Fault Type Monthly Trend</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5.5</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Stacked Bar</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How has the fault mix shifted over time?</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5-6</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Top 5 Station Radar</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5.6</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Radar</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How do stations compare on 5 dimensions?</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5-7</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Top 15 Fault Descriptions</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5.7</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Horizontal Bar</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Which specific faults recur most?</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5-8</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Fault Recurrence Funnel</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5.8</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Funnel</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How concentrated are the top recurring faults?</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5-9</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Severity Distribution</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5.9</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Dual Bar</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What is the long-tail leverage?</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5-10</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Station × Month Heatmap</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5.10</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Heatmap</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How have hotspots migrated over time?</w:t>
            </w:r>
          </w:p>
        </w:tc>
      </w:tr>
      <w:tr>
        <w:tc>
          <w:tcPr>
            <w:tcW w:type="dxa" w:w="737"/>
            <w:tcBorders>
              <w:top w:val="single" w:sz="4" w:color="BFBFBF"/>
              <w:left w:val="single" w:sz="4" w:color="BFBFBF"/>
              <w:bottom w:val="single" w:sz="4" w:color="BFBFBF"/>
              <w:right w:val="single" w:sz="4" w:color="BFBFBF"/>
            </w:tcBorders>
            <w:vAlign w:val="center"/>
          </w:tcPr>
          <w:p>
            <w:pPr>
              <w:jc w:val="left"/>
            </w:pPr>
            <w:r/>
            <w:r>
              <w:rPr>
                <w:sz w:val="19"/>
              </w:rPr>
              <w:t>5-11</w:t>
            </w:r>
          </w:p>
        </w:tc>
        <w:tc>
          <w:tcPr>
            <w:tcW w:type="dxa" w:w="2268"/>
            <w:tcBorders>
              <w:top w:val="single" w:sz="4" w:color="BFBFBF"/>
              <w:left w:val="single" w:sz="4" w:color="BFBFBF"/>
              <w:bottom w:val="single" w:sz="4" w:color="BFBFBF"/>
              <w:right w:val="single" w:sz="4" w:color="BFBFBF"/>
            </w:tcBorders>
            <w:vAlign w:val="center"/>
          </w:tcPr>
          <w:p>
            <w:pPr>
              <w:jc w:val="center"/>
            </w:pPr>
            <w:r/>
            <w:r>
              <w:rPr>
                <w:sz w:val="19"/>
              </w:rPr>
              <w:t>Temporal Patterns</w:t>
            </w:r>
          </w:p>
        </w:tc>
        <w:tc>
          <w:tcPr>
            <w:tcW w:type="dxa" w:w="794"/>
            <w:tcBorders>
              <w:top w:val="single" w:sz="4" w:color="BFBFBF"/>
              <w:left w:val="single" w:sz="4" w:color="BFBFBF"/>
              <w:bottom w:val="single" w:sz="4" w:color="BFBFBF"/>
              <w:right w:val="single" w:sz="4" w:color="BFBFBF"/>
            </w:tcBorders>
            <w:vAlign w:val="center"/>
          </w:tcPr>
          <w:p>
            <w:pPr>
              <w:jc w:val="center"/>
            </w:pPr>
            <w:r/>
            <w:r>
              <w:rPr>
                <w:sz w:val="19"/>
              </w:rPr>
              <w:t>5.11</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Dual Combo</w:t>
            </w:r>
          </w:p>
        </w:tc>
        <w:tc>
          <w:tcPr>
            <w:tcW w:type="dxa" w:w="3288"/>
            <w:tcBorders>
              <w:top w:val="single" w:sz="4" w:color="BFBFBF"/>
              <w:left w:val="single" w:sz="4" w:color="BFBFBF"/>
              <w:bottom w:val="single" w:sz="4" w:color="BFBFBF"/>
              <w:right w:val="single" w:sz="4" w:color="BFBFBF"/>
            </w:tcBorders>
            <w:vAlign w:val="center"/>
          </w:tcPr>
          <w:p>
            <w:pPr>
              <w:jc w:val="center"/>
            </w:pPr>
            <w:r/>
            <w:r>
              <w:rPr>
                <w:sz w:val="19"/>
              </w:rPr>
              <w:t>When (weekday/hour) do failures cluster?</w:t>
            </w:r>
          </w:p>
        </w:tc>
      </w:tr>
    </w:tbl>
    <w:p>
      <w:pPr>
        <w:pStyle w:val="Heading1"/>
      </w:pPr>
      <w:r>
        <w:t>Appendix B: Data Dictionary</w:t>
      </w:r>
    </w:p>
    <w:tbl>
      <w:tblPr>
        <w:tblW w:type="auto" w:w="0"/>
        <w:jc w:val="center"/>
        <w:tblLayout w:type="fixed"/>
        <w:tblLook w:firstColumn="1" w:firstRow="1" w:lastColumn="0" w:lastRow="0" w:noHBand="0" w:noVBand="1" w:val="04A0"/>
      </w:tblPr>
      <w:tblGrid>
        <w:gridCol w:w="3213"/>
        <w:gridCol w:w="3213"/>
        <w:gridCol w:w="3213"/>
      </w:tblGrid>
      <w:tr>
        <w:tc>
          <w:tcPr>
            <w:tcW w:type="dxa" w:w="1984"/>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Field</w:t>
            </w:r>
          </w:p>
        </w:tc>
        <w:tc>
          <w:tcPr>
            <w:tcW w:type="dxa" w:w="1701"/>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Type</w:t>
            </w:r>
          </w:p>
        </w:tc>
        <w:tc>
          <w:tcPr>
            <w:tcW w:type="dxa" w:w="5386"/>
            <w:shd w:val="clear" w:color="auto" w:fill="F2F2F2"/>
            <w:tcBorders>
              <w:top w:val="single" w:sz="4" w:color="BFBFBF"/>
              <w:left w:val="single" w:sz="4" w:color="BFBFBF"/>
              <w:bottom w:val="single" w:sz="4" w:color="BFBFBF"/>
              <w:right w:val="single" w:sz="4" w:color="BFBFBF"/>
            </w:tcBorders>
            <w:vAlign w:val="center"/>
          </w:tcPr>
          <w:p>
            <w:pPr>
              <w:jc w:val="center"/>
            </w:pPr>
            <w:r/>
            <w:r>
              <w:rPr>
                <w:b/>
                <w:color w:val="1F4E79"/>
                <w:sz w:val="20"/>
              </w:rPr>
              <w:t>Description</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MECH_No</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Raw workstation identifier (e.g., "Line 2 Station 85")</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Station</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 (derived)</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Canonical station label extracted from MECH_No</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Machine_Name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Process description at the station</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Line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Production line identifier — all rows are "Technomatic2[1455C]"</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Br_Date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Date</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Breakdown start date</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Br_Time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Time</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Breakdown start time (HH:MM:SS AM/PM)</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Completion_Date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Date</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Repair completion date</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Completion_Time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Time</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Repair completion time</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Actual_Time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Downtime duration in HH:MM:SS format</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Downtime_Min</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Float (derived)</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Actual_Time converted to minutes</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Fault_Desc</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Free-text fault description</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Br_Slip_No</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Breakdown ticket number (unique per event)</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Action</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Corrective action taken (frequently truncated)</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Fault_Type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Categorical</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Fault classification (9 categories)</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Month</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Period (derived)</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Calendar month for monthly aggregation</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Weekday</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 (derived)</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Day of week (Monday–Sunday)</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Hour</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Float (derived)</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Hour-of-day (24h) extracted from Br_Time</w:t>
            </w:r>
          </w:p>
        </w:tc>
      </w:tr>
      <w:tr>
        <w:tc>
          <w:tcPr>
            <w:tcW w:type="dxa" w:w="1984"/>
            <w:tcBorders>
              <w:top w:val="single" w:sz="4" w:color="BFBFBF"/>
              <w:left w:val="single" w:sz="4" w:color="BFBFBF"/>
              <w:bottom w:val="single" w:sz="4" w:color="BFBFBF"/>
              <w:right w:val="single" w:sz="4" w:color="BFBFBF"/>
            </w:tcBorders>
            <w:vAlign w:val="center"/>
          </w:tcPr>
          <w:p>
            <w:pPr>
              <w:jc w:val="left"/>
            </w:pPr>
            <w:r/>
            <w:r>
              <w:rPr>
                <w:sz w:val="19"/>
              </w:rPr>
              <w:t>Theme</w:t>
            </w:r>
          </w:p>
        </w:tc>
        <w:tc>
          <w:tcPr>
            <w:tcW w:type="dxa" w:w="1701"/>
            <w:tcBorders>
              <w:top w:val="single" w:sz="4" w:color="BFBFBF"/>
              <w:left w:val="single" w:sz="4" w:color="BFBFBF"/>
              <w:bottom w:val="single" w:sz="4" w:color="BFBFBF"/>
              <w:right w:val="single" w:sz="4" w:color="BFBFBF"/>
            </w:tcBorders>
            <w:vAlign w:val="center"/>
          </w:tcPr>
          <w:p>
            <w:pPr>
              <w:jc w:val="center"/>
            </w:pPr>
            <w:r/>
            <w:r>
              <w:rPr>
                <w:sz w:val="19"/>
              </w:rPr>
              <w:t>Text (derived)</w:t>
            </w:r>
          </w:p>
        </w:tc>
        <w:tc>
          <w:tcPr>
            <w:tcW w:type="dxa" w:w="5386"/>
            <w:tcBorders>
              <w:top w:val="single" w:sz="4" w:color="BFBFBF"/>
              <w:left w:val="single" w:sz="4" w:color="BFBFBF"/>
              <w:bottom w:val="single" w:sz="4" w:color="BFBFBF"/>
              <w:right w:val="single" w:sz="4" w:color="BFBFBF"/>
            </w:tcBorders>
            <w:vAlign w:val="center"/>
          </w:tcPr>
          <w:p>
            <w:pPr>
              <w:jc w:val="center"/>
            </w:pPr>
            <w:r/>
            <w:r>
              <w:rPr>
                <w:sz w:val="19"/>
              </w:rPr>
              <w:t>Fault family from text-mined Fault_Desc keywords</w:t>
            </w:r>
          </w:p>
        </w:tc>
      </w:tr>
    </w:tbl>
    <w:p>
      <w:pPr>
        <w:pStyle w:val="Heading1"/>
      </w:pPr>
      <w:r>
        <w:t>Appendix C: Source &amp; Reproducibility</w:t>
      </w:r>
    </w:p>
    <w:p>
      <w:pPr>
        <w:spacing w:after="120"/>
        <w:jc w:val="both"/>
      </w:pPr>
      <w:r>
        <w:rPr>
          <w:b w:val="0"/>
          <w:i w:val="0"/>
          <w:sz w:val="22"/>
        </w:rPr>
        <w:t>Source file: BreakDownDetails30-07-2026.xlsx (located at /home/z/my-project/upload/). Extraction date: 30-Jul-2026. Reporting period: 01-Jan-2026 to 30-Jul-2026 (7 months, 31 ISO weeks). Total raw rows: 385 (including header block and signature block). Total analytical rows: 380 (after cleaning rules in Section 2.2). All figures, tables, and statistics in this report were generated programmatically using Python 3.12 with pandas (data manipulation), matplotlib (chart generation), and python-docx (report assembly). The cleaning pipeline is deterministic and reproducible: applying the five rules in Section 2.2 to the source file will reproduce the analytical dataset exactly. Charts use a consistent color palette and 150 DPI output for print-quality reproduction. The report-generation script is version-controlled and can be re-run against any future extract of the breakdown log to produce an updated report with identical structure and formatting.</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20"/>
      </w:rPr>
      <w:t xml:space="preserve">Page </w:t>
    </w:r>
    <w:fldSimple w:instr="PAGE">
      <w:r>
        <w:rPr>
          <w:sz w:val="2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95959"/>
        <w:sz w:val="20"/>
      </w:rPr>
      <w:t>Breakdown Analysis Report — Technomatic 2 [1455C]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