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C418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15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kern w:val="0"/>
          <w:sz w:val="22"/>
          <w:szCs w:val="22"/>
          <w:shd w:val="clear" w:fill="FFFFFF"/>
          <w:lang w:val="en-US" w:eastAsia="zh-CN" w:bidi="ar"/>
        </w:rPr>
        <w:t>论述中国应如何构建“以居家为基础、社区为依托、机构为补充”的养老服务体系</w:t>
      </w:r>
    </w:p>
    <w:p w14:paraId="251066FD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8"/>
        </w:rPr>
        <w:br w:type="textWrapping"/>
      </w:r>
      <w:r>
        <w:rPr>
          <w:rFonts w:hint="eastAsia" w:ascii="宋体" w:hAnsi="宋体" w:eastAsia="宋体" w:cs="宋体"/>
          <w:sz w:val="15"/>
          <w:szCs w:val="18"/>
          <w:lang w:val="en-US" w:eastAsia="zh-CN"/>
        </w:rPr>
        <w:t>一、引言</w:t>
      </w:r>
    </w:p>
    <w:p w14:paraId="45051716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8"/>
          <w:lang w:val="en-US" w:eastAsia="zh-CN"/>
        </w:rPr>
        <w:t>当前，我国已步入深度老龄化阶段，“未富先老、慢备快老”的特征使老龄社会治理面临巨大挑战。2024年12月，中共中央、国务院印发《关于深化养老服务改革发展的意见》，首次以党中央、国务院名义对养老服务工作作出系统性制度设计，明确提出“优化居家为基础、社区为依托、机构为专业支撑、医养相结合的养老服务供给格局”。这一表述以“专业支撑”取代“补充”，标志着机构养老功能定位的历史性升级。</w:t>
      </w:r>
    </w:p>
    <w:p w14:paraId="2A650B3F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</w:p>
    <w:p w14:paraId="055A665E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8"/>
          <w:lang w:val="en-US" w:eastAsia="zh-CN"/>
        </w:rPr>
        <w:t>二、三位一体的内在逻辑</w:t>
      </w:r>
    </w:p>
    <w:p w14:paraId="16A60F07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8"/>
          <w:lang w:val="en-US" w:eastAsia="zh-CN"/>
        </w:rPr>
        <w:t>我国养老服务体系遵循“9073”格局（90%居家、7%社区、3%机构），三类形态各有定位、相互贯通。</w:t>
      </w:r>
    </w:p>
    <w:p w14:paraId="7923F351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8"/>
          <w:lang w:val="en-US" w:eastAsia="zh-CN"/>
        </w:rPr>
        <w:t>居家为基础，根植于孝道文化与“熟人社会”的家庭伦理，兼具文化可接受度与经济可行性。绝大多数老年人抱有“养老不离家”的意愿，居家养老构成全生命周期治理的非正式照料基石。其要义并非将责任推给家庭，而是将专业服务延伸至家庭场景。</w:t>
      </w:r>
    </w:p>
    <w:p w14:paraId="06D42F3F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8"/>
          <w:lang w:val="en-US" w:eastAsia="zh-CN"/>
        </w:rPr>
        <w:t>社区为依托，社区作为国家政策落地的治理末梢，具备地理邻近性与行政单位性，既为居家提供就近支持（日间照料、定期探访），又为机构提供需求筛查与服务转介，是连接家庭与社会的枢纽，构成居家养老的实质性“承重墙”。</w:t>
      </w:r>
    </w:p>
    <w:p w14:paraId="6CD97B4D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8"/>
          <w:lang w:val="en-US" w:eastAsia="zh-CN"/>
        </w:rPr>
        <w:t>机构为专业支撑，当长者进入重度失能阶段，照护需求已超越家庭能力上限，需要专业化“医养康护”整合服务。机构的核心职能正是满足这一刚性需求。《意见》将机构分为兜底保障型、普惠支持型、完全市场型三类，既保障公平可及，又为多层次需求留出空间。</w:t>
      </w:r>
    </w:p>
    <w:p w14:paraId="492990D0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8"/>
          <w:lang w:val="en-US" w:eastAsia="zh-CN"/>
        </w:rPr>
        <w:t>三类形态并非“福利孤岛”，需依托统一的需求评估体系实现精准画像与闭环衔接，达成“家—社—机”协同联动。</w:t>
      </w:r>
    </w:p>
    <w:p w14:paraId="065E66CA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</w:p>
    <w:p w14:paraId="2296348C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8"/>
          <w:lang w:val="en-US" w:eastAsia="zh-CN"/>
        </w:rPr>
        <w:t>三、构建路径</w:t>
      </w:r>
    </w:p>
    <w:p w14:paraId="28FC3213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8"/>
          <w:lang w:val="en-US" w:eastAsia="zh-CN"/>
        </w:rPr>
        <w:t>（一）巩固居家养老：服务进家门。 推行家庭养老床位，实现从“老人跟着床位走”到“床位跟着老人走”的转变。如设立家庭养老床位。同时推进家庭适老化改造与老旧小区加装电梯，改善居家安全环境。</w:t>
      </w:r>
    </w:p>
    <w:p w14:paraId="1006A750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8"/>
          <w:lang w:val="en-US" w:eastAsia="zh-CN"/>
        </w:rPr>
        <w:t>（二）强化社区依托：家门口的养老院。 发展嵌入式养老，推行“社区+物业+养老服务”模式。上海浣纱长者照护之家构建“机构—社区—家庭”三位一体网络，实现“专业服务不出社区”。社区应通过网格化管理，定期上门视察，为居家养老提供托底保障。</w:t>
      </w:r>
    </w:p>
    <w:p w14:paraId="70EE5AA8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8"/>
          <w:lang w:val="en-US" w:eastAsia="zh-CN"/>
        </w:rPr>
        <w:t>（三）优化机构支撑：分类改革与专业辐射。 提升兜底保障型机构质量，确保特困失能老人“应养尽养”；扩大普惠支持型机构供给。机构还应向社区和家庭输出培训、技术指导，成为区域养老“专业引擎”。</w:t>
      </w:r>
    </w:p>
    <w:p w14:paraId="3D3FE6DF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8"/>
          <w:lang w:val="en-US" w:eastAsia="zh-CN"/>
        </w:rPr>
        <w:t>（四）推进医养结合。 2025年10月五部门联合发文，部署25项任务，提出2027年底医养结合服务县域全覆盖。鼓励基层医疗机构与养老设施毗邻建设，实现从“养老”到“康养”的升级。</w:t>
      </w:r>
    </w:p>
    <w:p w14:paraId="6D2B73FD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</w:p>
    <w:p w14:paraId="733AFD09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8"/>
          <w:lang w:val="en-US" w:eastAsia="zh-CN"/>
        </w:rPr>
        <w:t>四、保障机制</w:t>
      </w:r>
    </w:p>
    <w:p w14:paraId="2FBEFD19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8"/>
          <w:lang w:val="en-US" w:eastAsia="zh-CN"/>
        </w:rPr>
        <w:t>1.制度层面，加快建立长期护理保险这一“第六险”，2026年起已在全国向中度以上失能老人发放消费补贴。科学规划设施布局，支持闲置空间转变为家庭养老床位。</w:t>
      </w:r>
    </w:p>
    <w:p w14:paraId="5E1F7F3D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8"/>
          <w:lang w:val="en-US" w:eastAsia="zh-CN"/>
        </w:rPr>
        <w:t>2，人才层面，引导高校开设养老相关专业，提升从业人员专业化水平与职业吸引力。</w:t>
      </w:r>
    </w:p>
    <w:p w14:paraId="0952DECD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8"/>
          <w:lang w:val="en-US" w:eastAsia="zh-CN"/>
        </w:rPr>
        <w:t>3.科技层面，推动智慧养老普及。“互联网+居家养老”正在为服务提质增效提供技术支撑。</w:t>
      </w:r>
    </w:p>
    <w:p w14:paraId="4B8EA3D7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8"/>
          <w:lang w:val="en-US" w:eastAsia="zh-CN"/>
        </w:rPr>
        <w:t>4.社会层面，构建“有为政府、有效市场、有情社会、有爱家庭”协同格局。推广“时间银行”，以数智化盘活低龄老年人力资源，年轻时积累服务时长，年老时兑换照护服务。同时针对“机构养老”的传统偏见，联合媒体与高校开展社会宣导，普及专业分工与尊老爱老并行的现代文明观。</w:t>
      </w:r>
    </w:p>
    <w:p w14:paraId="68F418BF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</w:p>
    <w:p w14:paraId="25F85409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8"/>
          <w:lang w:val="en-US" w:eastAsia="zh-CN"/>
        </w:rPr>
        <w:t>五、结语</w:t>
      </w:r>
    </w:p>
    <w:p w14:paraId="20D72023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8"/>
          <w:lang w:val="en-US" w:eastAsia="zh-CN"/>
        </w:rPr>
        <w:t>《意见》明确了“两步走”目标：2029年养老服务网络基本建成，2035年适合我国国情的养老服务体系成熟定型。道阻且长，但通过借鉴国际经验、结合中国乡土脉络与新质生产力赋能，我们必能走出一条兼顾“制度刚性与文化温情”的中国式老龄治理现代化道路。</w:t>
      </w:r>
    </w:p>
    <w:p w14:paraId="25C8AD08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</w:p>
    <w:p w14:paraId="5FC3863E">
      <w:pPr>
        <w:rPr>
          <w:rFonts w:hint="eastAsia" w:ascii="宋体" w:hAnsi="宋体" w:eastAsia="宋体" w:cs="宋体"/>
          <w:sz w:val="15"/>
          <w:szCs w:val="1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Regular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F712C7"/>
    <w:rsid w:val="70F7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2026-07-06T10:45:00Z</dcterms:created>
  <dc:creator>十亿少女的梦́✧</dc:creator>
  <cp:lastModifiedBy>十亿少女的梦́✧</cp:lastModifiedBy>
  <dcterms:modified xsi:type="dcterms:W3CDTF">2026-07-06T11:46:21Z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2991F6C304ACD5A4E0164B6AAA55EE74_41</vt:lpwstr>
  </property>
</Properties>
</file>