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jc w:val="center"/>
      </w:pPr>
      <w:r>
        <w:drawing>
          <wp:inline xmlns:a="http://schemas.openxmlformats.org/drawingml/2006/main" xmlns:pic="http://schemas.openxmlformats.org/drawingml/2006/picture">
            <wp:extent cx="6190488" cy="8767717"/>
            <wp:docPr id="1" name="Picture 1"/>
            <wp:cNvGraphicFramePr>
              <a:graphicFrameLocks noChangeAspect="1"/>
            </wp:cNvGraphicFramePr>
            <a:graphic>
              <a:graphicData uri="http://schemas.openxmlformats.org/drawingml/2006/picture">
                <pic:pic>
                  <pic:nvPicPr>
                    <pic:cNvPr id="0" name="Blue_Black_and_White_Geometric_Business_Plan_Document.png"/>
                    <pic:cNvPicPr/>
                  </pic:nvPicPr>
                  <pic:blipFill>
                    <a:blip r:embed="rId9"/>
                    <a:stretch>
                      <a:fillRect/>
                    </a:stretch>
                  </pic:blipFill>
                  <pic:spPr>
                    <a:xfrm>
                      <a:off x="0" y="0"/>
                      <a:ext cx="6190488" cy="8767717"/>
                    </a:xfrm>
                    <a:prstGeom prst="rect"/>
                  </pic:spPr>
                </pic:pic>
              </a:graphicData>
            </a:graphic>
          </wp:inline>
        </w:drawing>
      </w:r>
    </w:p>
    <w:p>
      <w:pPr>
        <w:spacing w:after="40"/>
        <w:jc w:val="center"/>
      </w:pPr>
      <w:r>
        <w:rPr>
          <w:rFonts w:ascii="Arial" w:hAnsi="Arial"/>
          <w:b/>
          <w:color w:val="1E3A8A"/>
          <w:sz w:val="32"/>
        </w:rPr>
        <w:t>ASDF SALOON</w:t>
        <w:br/>
      </w:r>
      <w:r>
        <w:rPr>
          <w:rFonts w:ascii="Arial" w:hAnsi="Arial"/>
          <w:b/>
          <w:color w:val="2563EB"/>
          <w:sz w:val="20"/>
        </w:rPr>
        <w:t>Beauty Salon  •  New Startup  •  Gampaha, Western Province, Sri Lanka</w:t>
        <w:br/>
      </w:r>
      <w:r>
        <w:rPr>
          <w:rFonts w:ascii="Arial" w:hAnsi="Arial"/>
          <w:color w:val="64748B"/>
          <w:sz w:val="17"/>
        </w:rPr>
        <w:t>Prepared by SME360 AI  |  Date: October 07, 2026  |  Record ID: REC-SME360-LK</w:t>
      </w:r>
    </w:p>
    <w:p>
      <w:r>
        <w:br w:type="page"/>
      </w:r>
    </w:p>
    <w:p>
      <w:pPr>
        <w:keepNext/>
        <w:spacing w:before="280" w:after="100"/>
      </w:pPr>
      <w:r>
        <w:rPr>
          <w:rFonts w:ascii="Arial" w:hAnsi="Arial"/>
          <w:b/>
          <w:color w:val="1E3A8A"/>
          <w:sz w:val="30"/>
        </w:rPr>
        <w:t>EXECUTIVE SUMMARY &amp; DECISION BRIEF</w:t>
      </w:r>
    </w:p>
    <w:p>
      <w:pPr>
        <w:spacing w:after="80" w:line="276" w:lineRule="auto"/>
      </w:pPr>
      <w:r>
        <w:rPr>
          <w:rFonts w:ascii="Arial" w:hAnsi="Arial"/>
          <w:color w:val="0F172A"/>
          <w:sz w:val="19"/>
        </w:rPr>
        <w:t>The proposed venture, ASDF SALOON, is assessed by the SME360 AI decision support engine as 'Conditionally Feasible' with 63.5% model confidence. The assessment confirms strong initial capitalization (LKR 1,650,000), but identifies customer demand (35 / 100) and initial daily footfall (5 clients/day) as critical bottlenecks requiring active promotional intervention.</w:t>
      </w:r>
    </w:p>
    <w:p>
      <w:pPr>
        <w:keepNext/>
        <w:spacing w:before="200" w:after="60"/>
      </w:pPr>
      <w:r>
        <w:rPr>
          <w:rFonts w:ascii="Arial" w:hAnsi="Arial"/>
          <w:b/>
          <w:color w:val="1E3A8A"/>
          <w:sz w:val="22"/>
        </w:rPr>
        <w:t>Key Financial &amp; Operating Indicators</w:t>
      </w:r>
    </w:p>
    <w:tbl>
      <w:tblPr>
        <w:tblW w:type="auto" w:w="0"/>
        <w:jc w:val="center"/>
        <w:tblLook w:firstColumn="1" w:firstRow="1" w:lastColumn="0" w:lastRow="0" w:noHBand="0" w:noVBand="1" w:val="04A0"/>
      </w:tblPr>
      <w:tblGrid>
        <w:gridCol w:w="2437"/>
        <w:gridCol w:w="2437"/>
        <w:gridCol w:w="2437"/>
        <w:gridCol w:w="2437"/>
      </w:tblGrid>
      <w:tr>
        <w:tc>
          <w:tcPr>
            <w:tcW w:type="dxa" w:w="2592"/>
            <w:vAlign w:val="center"/>
            <w:tcMar>
              <w:top w:w="80" w:type="dxa"/>
              <w:bottom w:w="80" w:type="dxa"/>
              <w:left w:w="120" w:type="dxa"/>
              <w:right w:w="120" w:type="dxa"/>
            </w:tcMar>
            <w:shd w:fill="F8FAFC"/>
          </w:tcPr>
          <w:p>
            <w:pPr>
              <w:spacing w:after="0"/>
            </w:pPr>
            <w:r>
              <w:rPr>
                <w:rFonts w:ascii="Arial" w:hAnsi="Arial"/>
                <w:b/>
                <w:color w:val="0F172A"/>
                <w:sz w:val="17"/>
              </w:rPr>
              <w:t>Available Capital</w:t>
            </w:r>
          </w:p>
        </w:tc>
        <w:tc>
          <w:tcPr>
            <w:tcW w:type="dxa" w:w="2160"/>
            <w:vAlign w:val="center"/>
            <w:tcMar>
              <w:top w:w="80" w:type="dxa"/>
              <w:bottom w:w="80" w:type="dxa"/>
              <w:left w:w="120" w:type="dxa"/>
              <w:right w:w="120" w:type="dxa"/>
            </w:tcMar>
            <w:shd w:fill="F8FAFC"/>
          </w:tcPr>
          <w:p>
            <w:pPr>
              <w:spacing w:after="0"/>
            </w:pPr>
            <w:r>
              <w:rPr>
                <w:rFonts w:ascii="Arial" w:hAnsi="Arial"/>
                <w:color w:val="0F172A"/>
                <w:sz w:val="17"/>
              </w:rPr>
              <w:t>LKR 1,650,000</w:t>
            </w:r>
          </w:p>
        </w:tc>
        <w:tc>
          <w:tcPr>
            <w:tcW w:type="dxa" w:w="2592"/>
            <w:vAlign w:val="center"/>
            <w:tcMar>
              <w:top w:w="80" w:type="dxa"/>
              <w:bottom w:w="80" w:type="dxa"/>
              <w:left w:w="120" w:type="dxa"/>
              <w:right w:w="120" w:type="dxa"/>
            </w:tcMar>
            <w:shd w:fill="F8FAFC"/>
          </w:tcPr>
          <w:p>
            <w:pPr>
              <w:spacing w:after="0"/>
            </w:pPr>
            <w:r>
              <w:rPr>
                <w:rFonts w:ascii="Arial" w:hAnsi="Arial"/>
                <w:b/>
                <w:color w:val="0F172A"/>
                <w:sz w:val="17"/>
              </w:rPr>
              <w:t>Strategy Target Capital</w:t>
            </w:r>
          </w:p>
        </w:tc>
        <w:tc>
          <w:tcPr>
            <w:tcW w:type="dxa" w:w="2405"/>
            <w:vAlign w:val="center"/>
            <w:tcMar>
              <w:top w:w="80" w:type="dxa"/>
              <w:bottom w:w="80" w:type="dxa"/>
              <w:left w:w="120" w:type="dxa"/>
              <w:right w:w="120" w:type="dxa"/>
            </w:tcMar>
            <w:shd w:fill="F8FAFC"/>
          </w:tcPr>
          <w:p>
            <w:pPr>
              <w:spacing w:after="0"/>
            </w:pPr>
            <w:r>
              <w:rPr>
                <w:rFonts w:ascii="Arial" w:hAnsi="Arial"/>
                <w:color w:val="0F172A"/>
                <w:sz w:val="17"/>
              </w:rPr>
              <w:t>LKR 1,237,500</w:t>
            </w:r>
          </w:p>
        </w:tc>
      </w:tr>
      <w:tr>
        <w:tc>
          <w:tcPr>
            <w:tcW w:type="dxa" w:w="2592"/>
            <w:vAlign w:val="center"/>
            <w:tcMar>
              <w:top w:w="80" w:type="dxa"/>
              <w:bottom w:w="80" w:type="dxa"/>
              <w:left w:w="120" w:type="dxa"/>
              <w:right w:w="120" w:type="dxa"/>
            </w:tcMar>
            <w:shd w:fill="FFFFFF"/>
          </w:tcPr>
          <w:p>
            <w:pPr>
              <w:spacing w:after="0"/>
            </w:pPr>
            <w:r>
              <w:rPr>
                <w:rFonts w:ascii="Arial" w:hAnsi="Arial"/>
                <w:b/>
                <w:color w:val="0F172A"/>
                <w:sz w:val="17"/>
              </w:rPr>
              <w:t>Safety Liquidity Reserve</w:t>
            </w:r>
          </w:p>
        </w:tc>
        <w:tc>
          <w:tcPr>
            <w:tcW w:type="dxa" w:w="2160"/>
            <w:vAlign w:val="center"/>
            <w:tcMar>
              <w:top w:w="80" w:type="dxa"/>
              <w:bottom w:w="80" w:type="dxa"/>
              <w:left w:w="120" w:type="dxa"/>
              <w:right w:w="120" w:type="dxa"/>
            </w:tcMar>
            <w:shd w:fill="FFFFFF"/>
          </w:tcPr>
          <w:p>
            <w:pPr>
              <w:spacing w:after="0"/>
            </w:pPr>
            <w:r>
              <w:rPr>
                <w:rFonts w:ascii="Arial" w:hAnsi="Arial"/>
                <w:color w:val="0F172A"/>
                <w:sz w:val="17"/>
              </w:rPr>
              <w:t>LKR 412,500 (25.0%)</w:t>
            </w:r>
          </w:p>
        </w:tc>
        <w:tc>
          <w:tcPr>
            <w:tcW w:type="dxa" w:w="2592"/>
            <w:vAlign w:val="center"/>
            <w:tcMar>
              <w:top w:w="80" w:type="dxa"/>
              <w:bottom w:w="80" w:type="dxa"/>
              <w:left w:w="120" w:type="dxa"/>
              <w:right w:w="120" w:type="dxa"/>
            </w:tcMar>
            <w:shd w:fill="FFFFFF"/>
          </w:tcPr>
          <w:p>
            <w:pPr>
              <w:spacing w:after="0"/>
            </w:pPr>
            <w:r>
              <w:rPr>
                <w:rFonts w:ascii="Arial" w:hAnsi="Arial"/>
                <w:b/>
                <w:color w:val="0F172A"/>
                <w:sz w:val="17"/>
              </w:rPr>
              <w:t>Break-Even Volume</w:t>
            </w:r>
          </w:p>
        </w:tc>
        <w:tc>
          <w:tcPr>
            <w:tcW w:type="dxa" w:w="2405"/>
            <w:vAlign w:val="center"/>
            <w:tcMar>
              <w:top w:w="80" w:type="dxa"/>
              <w:bottom w:w="80" w:type="dxa"/>
              <w:left w:w="120" w:type="dxa"/>
              <w:right w:w="120" w:type="dxa"/>
            </w:tcMar>
            <w:shd w:fill="FFFFFF"/>
          </w:tcPr>
          <w:p>
            <w:pPr>
              <w:spacing w:after="0"/>
            </w:pPr>
            <w:r>
              <w:rPr>
                <w:rFonts w:ascii="Arial" w:hAnsi="Arial"/>
                <w:color w:val="0F172A"/>
                <w:sz w:val="17"/>
              </w:rPr>
              <w:t>6.3 Clients / Day</w:t>
            </w:r>
          </w:p>
        </w:tc>
      </w:tr>
      <w:tr>
        <w:tc>
          <w:tcPr>
            <w:tcW w:type="dxa" w:w="2592"/>
            <w:vAlign w:val="center"/>
            <w:tcMar>
              <w:top w:w="80" w:type="dxa"/>
              <w:bottom w:w="80" w:type="dxa"/>
              <w:left w:w="120" w:type="dxa"/>
              <w:right w:w="120" w:type="dxa"/>
            </w:tcMar>
            <w:shd w:fill="F8FAFC"/>
          </w:tcPr>
          <w:p>
            <w:pPr>
              <w:spacing w:after="0"/>
            </w:pPr>
            <w:r>
              <w:rPr>
                <w:rFonts w:ascii="Arial" w:hAnsi="Arial"/>
                <w:b/>
                <w:color w:val="0F172A"/>
                <w:sz w:val="17"/>
              </w:rPr>
              <w:t>Initial Monthly Revenue</w:t>
            </w:r>
          </w:p>
        </w:tc>
        <w:tc>
          <w:tcPr>
            <w:tcW w:type="dxa" w:w="2160"/>
            <w:vAlign w:val="center"/>
            <w:tcMar>
              <w:top w:w="80" w:type="dxa"/>
              <w:bottom w:w="80" w:type="dxa"/>
              <w:left w:w="120" w:type="dxa"/>
              <w:right w:w="120" w:type="dxa"/>
            </w:tcMar>
            <w:shd w:fill="F8FAFC"/>
          </w:tcPr>
          <w:p>
            <w:pPr>
              <w:spacing w:after="0"/>
            </w:pPr>
            <w:r>
              <w:rPr>
                <w:rFonts w:ascii="Arial" w:hAnsi="Arial"/>
                <w:color w:val="0F172A"/>
                <w:sz w:val="17"/>
              </w:rPr>
              <w:t>LKR 65,000 (M1)</w:t>
            </w:r>
          </w:p>
        </w:tc>
        <w:tc>
          <w:tcPr>
            <w:tcW w:type="dxa" w:w="2592"/>
            <w:vAlign w:val="center"/>
            <w:tcMar>
              <w:top w:w="80" w:type="dxa"/>
              <w:bottom w:w="80" w:type="dxa"/>
              <w:left w:w="120" w:type="dxa"/>
              <w:right w:w="120" w:type="dxa"/>
            </w:tcMar>
            <w:shd w:fill="F8FAFC"/>
          </w:tcPr>
          <w:p>
            <w:pPr>
              <w:spacing w:after="0"/>
            </w:pPr>
            <w:r>
              <w:rPr>
                <w:rFonts w:ascii="Arial" w:hAnsi="Arial"/>
                <w:b/>
                <w:color w:val="0F172A"/>
                <w:sz w:val="17"/>
              </w:rPr>
              <w:t>Target Monthly Revenue</w:t>
            </w:r>
          </w:p>
        </w:tc>
        <w:tc>
          <w:tcPr>
            <w:tcW w:type="dxa" w:w="2405"/>
            <w:vAlign w:val="center"/>
            <w:tcMar>
              <w:top w:w="80" w:type="dxa"/>
              <w:bottom w:w="80" w:type="dxa"/>
              <w:left w:w="120" w:type="dxa"/>
              <w:right w:w="120" w:type="dxa"/>
            </w:tcMar>
            <w:shd w:fill="F8FAFC"/>
          </w:tcPr>
          <w:p>
            <w:pPr>
              <w:spacing w:after="0"/>
            </w:pPr>
            <w:r>
              <w:rPr>
                <w:rFonts w:ascii="Arial" w:hAnsi="Arial"/>
                <w:color w:val="0F172A"/>
                <w:sz w:val="17"/>
              </w:rPr>
              <w:t>LKR 65,000 (M6)</w:t>
            </w:r>
          </w:p>
        </w:tc>
      </w:tr>
      <w:tr>
        <w:tc>
          <w:tcPr>
            <w:tcW w:type="dxa" w:w="2592"/>
            <w:vAlign w:val="center"/>
            <w:tcMar>
              <w:top w:w="80" w:type="dxa"/>
              <w:bottom w:w="80" w:type="dxa"/>
              <w:left w:w="120" w:type="dxa"/>
              <w:right w:w="120" w:type="dxa"/>
            </w:tcMar>
            <w:shd w:fill="FFFFFF"/>
          </w:tcPr>
          <w:p>
            <w:pPr>
              <w:spacing w:after="0"/>
            </w:pPr>
            <w:r>
              <w:rPr>
                <w:rFonts w:ascii="Arial" w:hAnsi="Arial"/>
                <w:b/>
                <w:color w:val="0F172A"/>
                <w:sz w:val="17"/>
              </w:rPr>
              <w:t>Modeled Fixed Costs</w:t>
            </w:r>
          </w:p>
        </w:tc>
        <w:tc>
          <w:tcPr>
            <w:tcW w:type="dxa" w:w="2160"/>
            <w:vAlign w:val="center"/>
            <w:tcMar>
              <w:top w:w="80" w:type="dxa"/>
              <w:bottom w:w="80" w:type="dxa"/>
              <w:left w:w="120" w:type="dxa"/>
              <w:right w:w="120" w:type="dxa"/>
            </w:tcMar>
            <w:shd w:fill="FFFFFF"/>
          </w:tcPr>
          <w:p>
            <w:pPr>
              <w:spacing w:after="0"/>
            </w:pPr>
            <w:r>
              <w:rPr>
                <w:rFonts w:ascii="Arial" w:hAnsi="Arial"/>
                <w:color w:val="0F172A"/>
                <w:sz w:val="17"/>
              </w:rPr>
              <w:t>LKR 70,000 / Month</w:t>
            </w:r>
          </w:p>
        </w:tc>
        <w:tc>
          <w:tcPr>
            <w:tcW w:type="dxa" w:w="2592"/>
            <w:vAlign w:val="center"/>
            <w:tcMar>
              <w:top w:w="80" w:type="dxa"/>
              <w:bottom w:w="80" w:type="dxa"/>
              <w:left w:w="120" w:type="dxa"/>
              <w:right w:w="120" w:type="dxa"/>
            </w:tcMar>
            <w:shd w:fill="FFFFFF"/>
          </w:tcPr>
          <w:p>
            <w:pPr>
              <w:spacing w:after="0"/>
            </w:pPr>
            <w:r>
              <w:rPr>
                <w:rFonts w:ascii="Arial" w:hAnsi="Arial"/>
                <w:b/>
                <w:color w:val="0F172A"/>
                <w:sz w:val="17"/>
              </w:rPr>
              <w:t>Deficit Runway Buffer</w:t>
            </w:r>
          </w:p>
        </w:tc>
        <w:tc>
          <w:tcPr>
            <w:tcW w:type="dxa" w:w="2405"/>
            <w:vAlign w:val="center"/>
            <w:tcMar>
              <w:top w:w="80" w:type="dxa"/>
              <w:bottom w:w="80" w:type="dxa"/>
              <w:left w:w="120" w:type="dxa"/>
              <w:right w:w="120" w:type="dxa"/>
            </w:tcMar>
            <w:shd w:fill="FFFFFF"/>
          </w:tcPr>
          <w:p>
            <w:pPr>
              <w:spacing w:after="0"/>
            </w:pPr>
            <w:r>
              <w:rPr>
                <w:rFonts w:ascii="Arial" w:hAnsi="Arial"/>
                <w:color w:val="0F172A"/>
                <w:sz w:val="17"/>
              </w:rPr>
              <w:t>≥ 28.0 Months</w:t>
            </w:r>
          </w:p>
        </w:tc>
      </w:tr>
      <w:tr>
        <w:tc>
          <w:tcPr>
            <w:tcW w:type="dxa" w:w="2592"/>
            <w:vAlign w:val="center"/>
            <w:tcMar>
              <w:top w:w="80" w:type="dxa"/>
              <w:bottom w:w="80" w:type="dxa"/>
              <w:left w:w="120" w:type="dxa"/>
              <w:right w:w="120" w:type="dxa"/>
            </w:tcMar>
            <w:shd w:fill="F8FAFC"/>
          </w:tcPr>
          <w:p>
            <w:pPr>
              <w:spacing w:after="0"/>
            </w:pPr>
            <w:r>
              <w:rPr>
                <w:rFonts w:ascii="Arial" w:hAnsi="Arial"/>
                <w:b/>
                <w:color w:val="0F172A"/>
                <w:sz w:val="17"/>
              </w:rPr>
              <w:t>Top Model Enabler (+)</w:t>
            </w:r>
          </w:p>
        </w:tc>
        <w:tc>
          <w:tcPr>
            <w:tcW w:type="dxa" w:w="2160"/>
            <w:vAlign w:val="center"/>
            <w:tcMar>
              <w:top w:w="80" w:type="dxa"/>
              <w:bottom w:w="80" w:type="dxa"/>
              <w:left w:w="120" w:type="dxa"/>
              <w:right w:w="120" w:type="dxa"/>
            </w:tcMar>
            <w:shd w:fill="F8FAFC"/>
          </w:tcPr>
          <w:p>
            <w:pPr>
              <w:spacing w:after="0"/>
            </w:pPr>
            <w:r>
              <w:rPr>
                <w:rFonts w:ascii="Arial" w:hAnsi="Arial"/>
                <w:color w:val="0F172A"/>
                <w:sz w:val="17"/>
              </w:rPr>
              <w:t>Expected Product Price</w:t>
            </w:r>
          </w:p>
        </w:tc>
        <w:tc>
          <w:tcPr>
            <w:tcW w:type="dxa" w:w="2592"/>
            <w:vAlign w:val="center"/>
            <w:tcMar>
              <w:top w:w="80" w:type="dxa"/>
              <w:bottom w:w="80" w:type="dxa"/>
              <w:left w:w="120" w:type="dxa"/>
              <w:right w:w="120" w:type="dxa"/>
            </w:tcMar>
            <w:shd w:fill="F8FAFC"/>
          </w:tcPr>
          <w:p>
            <w:pPr>
              <w:spacing w:after="0"/>
            </w:pPr>
            <w:r>
              <w:rPr>
                <w:rFonts w:ascii="Arial" w:hAnsi="Arial"/>
                <w:b/>
                <w:color w:val="0F172A"/>
                <w:sz w:val="17"/>
              </w:rPr>
              <w:t>Top Operational Hurdle (-)</w:t>
            </w:r>
          </w:p>
        </w:tc>
        <w:tc>
          <w:tcPr>
            <w:tcW w:type="dxa" w:w="2405"/>
            <w:vAlign w:val="center"/>
            <w:tcMar>
              <w:top w:w="80" w:type="dxa"/>
              <w:bottom w:w="80" w:type="dxa"/>
              <w:left w:w="120" w:type="dxa"/>
              <w:right w:w="120" w:type="dxa"/>
            </w:tcMar>
            <w:shd w:fill="F8FAFC"/>
          </w:tcPr>
          <w:p>
            <w:pPr>
              <w:spacing w:after="0"/>
            </w:pPr>
            <w:r>
              <w:rPr>
                <w:rFonts w:ascii="Arial" w:hAnsi="Arial"/>
                <w:color w:val="0F172A"/>
                <w:sz w:val="17"/>
              </w:rPr>
              <w:t>Customer Demand Score</w:t>
            </w:r>
          </w:p>
        </w:tc>
      </w:tr>
    </w:tbl>
    <w:p>
      <w:pPr>
        <w:keepNext/>
        <w:spacing w:before="200" w:after="60"/>
      </w:pPr>
      <w:r>
        <w:rPr>
          <w:rFonts w:ascii="Arial" w:hAnsi="Arial"/>
          <w:b/>
          <w:color w:val="1E3A8A"/>
          <w:sz w:val="22"/>
        </w:rPr>
        <w:t>Top 3 Enterprise Risks &amp; Immediate Mitigations</w:t>
      </w:r>
    </w:p>
    <w:tbl>
      <w:tblPr>
        <w:tblW w:type="auto" w:w="0"/>
        <w:jc w:val="center"/>
        <w:tblLook w:firstColumn="1" w:firstRow="1" w:lastColumn="0" w:lastRow="0" w:noHBand="0" w:noVBand="1" w:val="04A0"/>
      </w:tblPr>
      <w:tblGrid>
        <w:gridCol w:w="2437"/>
        <w:gridCol w:w="2437"/>
        <w:gridCol w:w="2437"/>
        <w:gridCol w:w="2437"/>
      </w:tblGrid>
      <w:tr>
        <w:tc>
          <w:tcPr>
            <w:tcW w:type="dxa" w:w="2880"/>
            <w:vAlign w:val="center"/>
            <w:tcMar>
              <w:top w:w="80" w:type="dxa"/>
              <w:bottom w:w="80" w:type="dxa"/>
              <w:left w:w="120" w:type="dxa"/>
              <w:right w:w="120" w:type="dxa"/>
            </w:tcMar>
            <w:shd w:fill="1E3A8A"/>
          </w:tcPr>
          <w:p>
            <w:pPr>
              <w:spacing w:after="0"/>
            </w:pPr>
            <w:r>
              <w:rPr>
                <w:rFonts w:ascii="Arial" w:hAnsi="Arial"/>
                <w:b/>
                <w:color w:val="FFFFFF"/>
                <w:sz w:val="17"/>
              </w:rPr>
              <w:t>Risk Description</w:t>
            </w:r>
          </w:p>
        </w:tc>
        <w:tc>
          <w:tcPr>
            <w:tcW w:type="dxa" w:w="1152"/>
            <w:vAlign w:val="center"/>
            <w:tcMar>
              <w:top w:w="80" w:type="dxa"/>
              <w:bottom w:w="80" w:type="dxa"/>
              <w:left w:w="120" w:type="dxa"/>
              <w:right w:w="120" w:type="dxa"/>
            </w:tcMar>
            <w:shd w:fill="1E3A8A"/>
          </w:tcPr>
          <w:p>
            <w:pPr>
              <w:spacing w:after="0"/>
            </w:pPr>
            <w:r>
              <w:rPr>
                <w:rFonts w:ascii="Arial" w:hAnsi="Arial"/>
                <w:b/>
                <w:color w:val="FFFFFF"/>
                <w:sz w:val="17"/>
              </w:rPr>
              <w:t>Impact</w:t>
            </w:r>
          </w:p>
        </w:tc>
        <w:tc>
          <w:tcPr>
            <w:tcW w:type="dxa" w:w="3989"/>
            <w:vAlign w:val="center"/>
            <w:tcMar>
              <w:top w:w="80" w:type="dxa"/>
              <w:bottom w:w="80" w:type="dxa"/>
              <w:left w:w="120" w:type="dxa"/>
              <w:right w:w="120" w:type="dxa"/>
            </w:tcMar>
            <w:shd w:fill="1E3A8A"/>
          </w:tcPr>
          <w:p>
            <w:pPr>
              <w:spacing w:after="0"/>
            </w:pPr>
            <w:r>
              <w:rPr>
                <w:rFonts w:ascii="Arial" w:hAnsi="Arial"/>
                <w:b/>
                <w:color w:val="FFFFFF"/>
                <w:sz w:val="17"/>
              </w:rPr>
              <w:t>Mitigation Action Plan</w:t>
            </w:r>
          </w:p>
        </w:tc>
        <w:tc>
          <w:tcPr>
            <w:tcW w:type="dxa" w:w="1728"/>
            <w:vAlign w:val="center"/>
            <w:tcMar>
              <w:top w:w="80" w:type="dxa"/>
              <w:bottom w:w="80" w:type="dxa"/>
              <w:left w:w="120" w:type="dxa"/>
              <w:right w:w="120" w:type="dxa"/>
            </w:tcMar>
            <w:shd w:fill="1E3A8A"/>
          </w:tcPr>
          <w:p>
            <w:pPr>
              <w:spacing w:after="0"/>
            </w:pPr>
            <w:r>
              <w:rPr>
                <w:rFonts w:ascii="Arial" w:hAnsi="Arial"/>
                <w:b/>
                <w:color w:val="FFFFFF"/>
                <w:sz w:val="17"/>
              </w:rPr>
              <w:t>Owner</w:t>
            </w:r>
          </w:p>
        </w:tc>
      </w:tr>
      <w:tr>
        <w:tc>
          <w:tcPr>
            <w:tcW w:type="dxa" w:w="2880"/>
            <w:vAlign w:val="center"/>
            <w:tcMar>
              <w:top w:w="80" w:type="dxa"/>
              <w:bottom w:w="80" w:type="dxa"/>
              <w:left w:w="120" w:type="dxa"/>
              <w:right w:w="120" w:type="dxa"/>
            </w:tcMar>
            <w:shd w:fill="FFFFFF"/>
          </w:tcPr>
          <w:p>
            <w:pPr>
              <w:spacing w:after="0"/>
            </w:pPr>
            <w:r>
              <w:rPr>
                <w:rFonts w:ascii="Arial" w:hAnsi="Arial"/>
                <w:color w:val="0F172A"/>
                <w:sz w:val="17"/>
              </w:rPr>
              <w:t>Working Capital Cash Squeeze</w:t>
            </w:r>
          </w:p>
        </w:tc>
        <w:tc>
          <w:tcPr>
            <w:tcW w:type="dxa" w:w="1152"/>
            <w:vAlign w:val="center"/>
            <w:tcMar>
              <w:top w:w="80" w:type="dxa"/>
              <w:bottom w:w="80" w:type="dxa"/>
              <w:left w:w="120" w:type="dxa"/>
              <w:right w:w="120" w:type="dxa"/>
            </w:tcMar>
            <w:shd w:fill="FFFFFF"/>
          </w:tcPr>
          <w:p>
            <w:pPr>
              <w:spacing w:after="0"/>
            </w:pPr>
            <w:r>
              <w:rPr>
                <w:rFonts w:ascii="Arial" w:hAnsi="Arial"/>
                <w:color w:val="0F172A"/>
                <w:sz w:val="17"/>
              </w:rPr>
              <w:t>High</w:t>
            </w:r>
          </w:p>
        </w:tc>
        <w:tc>
          <w:tcPr>
            <w:tcW w:type="dxa" w:w="3989"/>
            <w:vAlign w:val="center"/>
            <w:tcMar>
              <w:top w:w="80" w:type="dxa"/>
              <w:bottom w:w="80" w:type="dxa"/>
              <w:left w:w="120" w:type="dxa"/>
              <w:right w:w="120" w:type="dxa"/>
            </w:tcMar>
            <w:shd w:fill="FFFFFF"/>
          </w:tcPr>
          <w:p>
            <w:pPr>
              <w:spacing w:after="0"/>
            </w:pPr>
            <w:r>
              <w:rPr>
                <w:rFonts w:ascii="Arial" w:hAnsi="Arial"/>
                <w:color w:val="0F172A"/>
                <w:sz w:val="17"/>
              </w:rPr>
              <w:t>Enforce weekly cash flow audits, maintain a minimum 3-month operating reserve, and avoid advance inventory over-ordering.</w:t>
            </w:r>
          </w:p>
        </w:tc>
        <w:tc>
          <w:tcPr>
            <w:tcW w:type="dxa" w:w="1728"/>
            <w:vAlign w:val="center"/>
            <w:tcMar>
              <w:top w:w="80" w:type="dxa"/>
              <w:bottom w:w="80" w:type="dxa"/>
              <w:left w:w="120" w:type="dxa"/>
              <w:right w:w="120" w:type="dxa"/>
            </w:tcMar>
            <w:shd w:fill="FFFFFF"/>
          </w:tcPr>
          <w:p>
            <w:pPr>
              <w:spacing w:after="0"/>
            </w:pPr>
            <w:r>
              <w:rPr>
                <w:rFonts w:ascii="Arial" w:hAnsi="Arial"/>
                <w:color w:val="0F172A"/>
                <w:sz w:val="17"/>
              </w:rPr>
              <w:t>Founder / Owner</w:t>
            </w:r>
          </w:p>
        </w:tc>
      </w:tr>
      <w:tr>
        <w:tc>
          <w:tcPr>
            <w:tcW w:type="dxa" w:w="2880"/>
            <w:vAlign w:val="center"/>
            <w:tcMar>
              <w:top w:w="80" w:type="dxa"/>
              <w:bottom w:w="80" w:type="dxa"/>
              <w:left w:w="120" w:type="dxa"/>
              <w:right w:w="120" w:type="dxa"/>
            </w:tcMar>
            <w:shd w:fill="F8FAFC"/>
          </w:tcPr>
          <w:p>
            <w:pPr>
              <w:spacing w:after="0"/>
            </w:pPr>
            <w:r>
              <w:rPr>
                <w:rFonts w:ascii="Arial" w:hAnsi="Arial"/>
                <w:color w:val="0F172A"/>
                <w:sz w:val="17"/>
              </w:rPr>
              <w:t>Key Staff Turnover &amp; Attendance Gaps</w:t>
            </w:r>
          </w:p>
        </w:tc>
        <w:tc>
          <w:tcPr>
            <w:tcW w:type="dxa" w:w="1152"/>
            <w:vAlign w:val="center"/>
            <w:tcMar>
              <w:top w:w="80" w:type="dxa"/>
              <w:bottom w:w="80" w:type="dxa"/>
              <w:left w:w="120" w:type="dxa"/>
              <w:right w:w="120" w:type="dxa"/>
            </w:tcMar>
            <w:shd w:fill="F8FAFC"/>
          </w:tcPr>
          <w:p>
            <w:pPr>
              <w:spacing w:after="0"/>
            </w:pPr>
            <w:r>
              <w:rPr>
                <w:rFonts w:ascii="Arial" w:hAnsi="Arial"/>
                <w:color w:val="0F172A"/>
                <w:sz w:val="17"/>
              </w:rPr>
              <w:t>Moderate</w:t>
            </w:r>
          </w:p>
        </w:tc>
        <w:tc>
          <w:tcPr>
            <w:tcW w:type="dxa" w:w="3989"/>
            <w:vAlign w:val="center"/>
            <w:tcMar>
              <w:top w:w="80" w:type="dxa"/>
              <w:bottom w:w="80" w:type="dxa"/>
              <w:left w:w="120" w:type="dxa"/>
              <w:right w:w="120" w:type="dxa"/>
            </w:tcMar>
            <w:shd w:fill="F8FAFC"/>
          </w:tcPr>
          <w:p>
            <w:pPr>
              <w:spacing w:after="0"/>
            </w:pPr>
            <w:r>
              <w:rPr>
                <w:rFonts w:ascii="Arial" w:hAnsi="Arial"/>
                <w:color w:val="0F172A"/>
                <w:sz w:val="17"/>
              </w:rPr>
              <w:t>Institute standard operating procedure (SOP) cross-training, attractive performance incentives, and flexible shift rosters.</w:t>
            </w:r>
          </w:p>
        </w:tc>
        <w:tc>
          <w:tcPr>
            <w:tcW w:type="dxa" w:w="1728"/>
            <w:vAlign w:val="center"/>
            <w:tcMar>
              <w:top w:w="80" w:type="dxa"/>
              <w:bottom w:w="80" w:type="dxa"/>
              <w:left w:w="120" w:type="dxa"/>
              <w:right w:w="120" w:type="dxa"/>
            </w:tcMar>
            <w:shd w:fill="F8FAFC"/>
          </w:tcPr>
          <w:p>
            <w:pPr>
              <w:spacing w:after="0"/>
            </w:pPr>
            <w:r>
              <w:rPr>
                <w:rFonts w:ascii="Arial" w:hAnsi="Arial"/>
                <w:color w:val="0F172A"/>
                <w:sz w:val="17"/>
              </w:rPr>
              <w:t>Manager / Lead</w:t>
            </w:r>
          </w:p>
        </w:tc>
      </w:tr>
      <w:tr>
        <w:tc>
          <w:tcPr>
            <w:tcW w:type="dxa" w:w="2880"/>
            <w:vAlign w:val="center"/>
            <w:tcMar>
              <w:top w:w="80" w:type="dxa"/>
              <w:bottom w:w="80" w:type="dxa"/>
              <w:left w:w="120" w:type="dxa"/>
              <w:right w:w="120" w:type="dxa"/>
            </w:tcMar>
            <w:shd w:fill="FFFFFF"/>
          </w:tcPr>
          <w:p>
            <w:pPr>
              <w:spacing w:after="0"/>
            </w:pPr>
            <w:r>
              <w:rPr>
                <w:rFonts w:ascii="Arial" w:hAnsi="Arial"/>
                <w:color w:val="0F172A"/>
                <w:sz w:val="17"/>
              </w:rPr>
              <w:t>Client Service Dissatisfaction &amp; Skin/Hair Reactions</w:t>
            </w:r>
          </w:p>
        </w:tc>
        <w:tc>
          <w:tcPr>
            <w:tcW w:type="dxa" w:w="1152"/>
            <w:vAlign w:val="center"/>
            <w:tcMar>
              <w:top w:w="80" w:type="dxa"/>
              <w:bottom w:w="80" w:type="dxa"/>
              <w:left w:w="120" w:type="dxa"/>
              <w:right w:w="120" w:type="dxa"/>
            </w:tcMar>
            <w:shd w:fill="FFFFFF"/>
          </w:tcPr>
          <w:p>
            <w:pPr>
              <w:spacing w:after="0"/>
            </w:pPr>
            <w:r>
              <w:rPr>
                <w:rFonts w:ascii="Arial" w:hAnsi="Arial"/>
                <w:color w:val="0F172A"/>
                <w:sz w:val="17"/>
              </w:rPr>
              <w:t>High</w:t>
            </w:r>
          </w:p>
        </w:tc>
        <w:tc>
          <w:tcPr>
            <w:tcW w:type="dxa" w:w="3989"/>
            <w:vAlign w:val="center"/>
            <w:tcMar>
              <w:top w:w="80" w:type="dxa"/>
              <w:bottom w:w="80" w:type="dxa"/>
              <w:left w:w="120" w:type="dxa"/>
              <w:right w:w="120" w:type="dxa"/>
            </w:tcMar>
            <w:shd w:fill="FFFFFF"/>
          </w:tcPr>
          <w:p>
            <w:pPr>
              <w:spacing w:after="0"/>
            </w:pPr>
            <w:r>
              <w:rPr>
                <w:rFonts w:ascii="Arial" w:hAnsi="Arial"/>
                <w:color w:val="0F172A"/>
                <w:sz w:val="17"/>
              </w:rPr>
              <w:t>Mandatory 24-hour patch test for chemical hair color/treatments; thorough pre-service client consultation cards.</w:t>
            </w:r>
          </w:p>
        </w:tc>
        <w:tc>
          <w:tcPr>
            <w:tcW w:type="dxa" w:w="1728"/>
            <w:vAlign w:val="center"/>
            <w:tcMar>
              <w:top w:w="80" w:type="dxa"/>
              <w:bottom w:w="80" w:type="dxa"/>
              <w:left w:w="120" w:type="dxa"/>
              <w:right w:w="120" w:type="dxa"/>
            </w:tcMar>
            <w:shd w:fill="FFFFFF"/>
          </w:tcPr>
          <w:p>
            <w:pPr>
              <w:spacing w:after="0"/>
            </w:pPr>
            <w:r>
              <w:rPr>
                <w:rFonts w:ascii="Arial" w:hAnsi="Arial"/>
                <w:color w:val="0F172A"/>
                <w:sz w:val="17"/>
              </w:rPr>
              <w:t>Head Stylist</w:t>
            </w:r>
          </w:p>
        </w:tc>
      </w:tr>
    </w:tbl>
    <w:p>
      <w:pPr>
        <w:spacing w:after="80" w:line="276" w:lineRule="auto"/>
      </w:pPr>
      <w:r>
        <w:rPr>
          <w:rFonts w:ascii="Arial" w:hAnsi="Arial"/>
          <w:b/>
          <w:color w:val="0F172A"/>
          <w:sz w:val="19"/>
        </w:rPr>
        <w:t xml:space="preserve">Recommended Immediate Action: </w:t>
      </w:r>
      <w:r>
        <w:rPr>
          <w:rFonts w:ascii="Arial" w:hAnsi="Arial"/>
          <w:color w:val="0F172A"/>
          <w:sz w:val="19"/>
        </w:rPr>
        <w:t>Immediate Next Step: Finalize Business Name registration for 'ASDF SALOON' at Gampaha Divisional Secretariat and submit trade licence application to the Local Council.</w:t>
      </w:r>
    </w:p>
    <w:p>
      <w:r>
        <w:br w:type="page"/>
      </w:r>
    </w:p>
    <w:p>
      <w:pPr>
        <w:keepNext/>
        <w:spacing w:before="280" w:after="100"/>
      </w:pPr>
      <w:r>
        <w:rPr>
          <w:rFonts w:ascii="Arial" w:hAnsi="Arial"/>
          <w:b/>
          <w:color w:val="1E3A8A"/>
          <w:sz w:val="30"/>
        </w:rPr>
        <w:t>TABLE OF CONTENTS</w:t>
      </w:r>
    </w:p>
    <w:p>
      <w:pPr>
        <w:spacing w:after="80" w:line="276" w:lineRule="auto"/>
      </w:pPr>
      <w:r>
        <w:rPr>
          <w:rFonts w:ascii="Arial" w:hAnsi="Arial"/>
          <w:color w:val="0F172A"/>
          <w:sz w:val="19"/>
        </w:rPr>
        <w:t>Strategic navigation and structure of the SME360 AI Business Plan:</w:t>
      </w:r>
    </w:p>
    <w:tbl>
      <w:tblPr>
        <w:tblW w:type="auto" w:w="0"/>
        <w:jc w:val="center"/>
        <w:tblLook w:firstColumn="1" w:firstRow="1" w:lastColumn="0" w:lastRow="0" w:noHBand="0" w:noVBand="1" w:val="04A0"/>
      </w:tblPr>
      <w:tblGrid>
        <w:gridCol w:w="3250"/>
        <w:gridCol w:w="3250"/>
        <w:gridCol w:w="3250"/>
      </w:tblGrid>
      <w:tr>
        <w:tc>
          <w:tcPr>
            <w:tcW w:type="dxa" w:w="5472"/>
            <w:vAlign w:val="center"/>
            <w:tcMar>
              <w:top w:w="80" w:type="dxa"/>
              <w:bottom w:w="80" w:type="dxa"/>
              <w:left w:w="120" w:type="dxa"/>
              <w:right w:w="120" w:type="dxa"/>
            </w:tcMar>
            <w:shd w:fill="1E3A8A"/>
          </w:tcPr>
          <w:p>
            <w:pPr>
              <w:spacing w:after="0"/>
            </w:pPr>
            <w:r>
              <w:rPr>
                <w:rFonts w:ascii="Arial" w:hAnsi="Arial"/>
                <w:b/>
                <w:color w:val="FFFFFF"/>
                <w:sz w:val="17"/>
              </w:rPr>
              <w:t>Section Title</w:t>
            </w:r>
          </w:p>
        </w:tc>
        <w:tc>
          <w:tcPr>
            <w:tcW w:type="dxa" w:w="3125"/>
            <w:vAlign w:val="center"/>
            <w:tcMar>
              <w:top w:w="80" w:type="dxa"/>
              <w:bottom w:w="80" w:type="dxa"/>
              <w:left w:w="120" w:type="dxa"/>
              <w:right w:w="120" w:type="dxa"/>
            </w:tcMar>
            <w:shd w:fill="1E3A8A"/>
          </w:tcPr>
          <w:p>
            <w:pPr>
              <w:spacing w:after="0"/>
            </w:pPr>
            <w:r>
              <w:rPr>
                <w:rFonts w:ascii="Arial" w:hAnsi="Arial"/>
                <w:b/>
                <w:color w:val="FFFFFF"/>
                <w:sz w:val="17"/>
              </w:rPr>
              <w:t>Operational Focus</w:t>
            </w:r>
          </w:p>
        </w:tc>
        <w:tc>
          <w:tcPr>
            <w:tcW w:type="dxa" w:w="1152"/>
            <w:vAlign w:val="center"/>
            <w:tcMar>
              <w:top w:w="80" w:type="dxa"/>
              <w:bottom w:w="80" w:type="dxa"/>
              <w:left w:w="120" w:type="dxa"/>
              <w:right w:w="120" w:type="dxa"/>
            </w:tcMar>
            <w:shd w:fill="1E3A8A"/>
          </w:tcPr>
          <w:p>
            <w:pPr>
              <w:spacing w:after="0"/>
            </w:pPr>
            <w:r>
              <w:rPr>
                <w:rFonts w:ascii="Arial" w:hAnsi="Arial"/>
                <w:b/>
                <w:color w:val="FFFFFF"/>
                <w:sz w:val="17"/>
              </w:rPr>
              <w:t>Page</w:t>
            </w:r>
          </w:p>
        </w:tc>
      </w:tr>
      <w:tr>
        <w:tc>
          <w:tcPr>
            <w:tcW w:type="dxa" w:w="5472"/>
            <w:vAlign w:val="center"/>
            <w:tcMar>
              <w:top w:w="80" w:type="dxa"/>
              <w:bottom w:w="80" w:type="dxa"/>
              <w:left w:w="120" w:type="dxa"/>
              <w:right w:w="120" w:type="dxa"/>
            </w:tcMar>
            <w:shd w:fill="FFFFFF"/>
          </w:tcPr>
          <w:p>
            <w:pPr>
              <w:spacing w:after="0"/>
            </w:pPr>
            <w:r>
              <w:rPr>
                <w:rFonts w:ascii="Arial" w:hAnsi="Arial"/>
                <w:color w:val="0F172A"/>
                <w:sz w:val="17"/>
              </w:rPr>
              <w:t>Cover Document</w:t>
            </w:r>
          </w:p>
        </w:tc>
        <w:tc>
          <w:tcPr>
            <w:tcW w:type="dxa" w:w="3125"/>
            <w:vAlign w:val="center"/>
            <w:tcMar>
              <w:top w:w="80" w:type="dxa"/>
              <w:bottom w:w="80" w:type="dxa"/>
              <w:left w:w="120" w:type="dxa"/>
              <w:right w:w="120" w:type="dxa"/>
            </w:tcMar>
            <w:shd w:fill="FFFFFF"/>
          </w:tcPr>
          <w:p>
            <w:pPr>
              <w:spacing w:after="0"/>
            </w:pPr>
            <w:r>
              <w:rPr>
                <w:rFonts w:ascii="Arial" w:hAnsi="Arial"/>
                <w:color w:val="0F172A"/>
                <w:sz w:val="17"/>
              </w:rPr>
              <w:t>COVER</w:t>
            </w:r>
          </w:p>
        </w:tc>
        <w:tc>
          <w:tcPr>
            <w:tcW w:type="dxa" w:w="1152"/>
            <w:vAlign w:val="center"/>
            <w:tcMar>
              <w:top w:w="80" w:type="dxa"/>
              <w:bottom w:w="80" w:type="dxa"/>
              <w:left w:w="120" w:type="dxa"/>
              <w:right w:w="120" w:type="dxa"/>
            </w:tcMar>
            <w:shd w:fill="FFFFFF"/>
          </w:tcPr>
          <w:p>
            <w:pPr>
              <w:spacing w:after="0"/>
            </w:pPr>
            <w:r>
              <w:rPr>
                <w:rFonts w:ascii="Arial" w:hAnsi="Arial"/>
                <w:color w:val="0F172A"/>
                <w:sz w:val="17"/>
              </w:rPr>
              <w:t>1</w:t>
            </w:r>
          </w:p>
        </w:tc>
      </w:tr>
      <w:tr>
        <w:tc>
          <w:tcPr>
            <w:tcW w:type="dxa" w:w="5472"/>
            <w:vAlign w:val="center"/>
            <w:tcMar>
              <w:top w:w="80" w:type="dxa"/>
              <w:bottom w:w="80" w:type="dxa"/>
              <w:left w:w="120" w:type="dxa"/>
              <w:right w:w="120" w:type="dxa"/>
            </w:tcMar>
            <w:shd w:fill="F8FAFC"/>
          </w:tcPr>
          <w:p>
            <w:pPr>
              <w:spacing w:after="0"/>
            </w:pPr>
            <w:r>
              <w:rPr>
                <w:rFonts w:ascii="Arial" w:hAnsi="Arial"/>
                <w:color w:val="0F172A"/>
                <w:sz w:val="17"/>
              </w:rPr>
              <w:t>Executive Summary &amp; Key Decision Indicators</w:t>
            </w:r>
          </w:p>
        </w:tc>
        <w:tc>
          <w:tcPr>
            <w:tcW w:type="dxa" w:w="3125"/>
            <w:vAlign w:val="center"/>
            <w:tcMar>
              <w:top w:w="80" w:type="dxa"/>
              <w:bottom w:w="80" w:type="dxa"/>
              <w:left w:w="120" w:type="dxa"/>
              <w:right w:w="120" w:type="dxa"/>
            </w:tcMar>
            <w:shd w:fill="F8FAFC"/>
          </w:tcPr>
          <w:p>
            <w:pPr>
              <w:spacing w:after="0"/>
            </w:pPr>
            <w:r>
              <w:rPr>
                <w:rFonts w:ascii="Arial" w:hAnsi="Arial"/>
                <w:color w:val="0F172A"/>
                <w:sz w:val="17"/>
              </w:rPr>
              <w:t>EXEC_SUMMARY</w:t>
            </w:r>
          </w:p>
        </w:tc>
        <w:tc>
          <w:tcPr>
            <w:tcW w:type="dxa" w:w="1152"/>
            <w:vAlign w:val="center"/>
            <w:tcMar>
              <w:top w:w="80" w:type="dxa"/>
              <w:bottom w:w="80" w:type="dxa"/>
              <w:left w:w="120" w:type="dxa"/>
              <w:right w:w="120" w:type="dxa"/>
            </w:tcMar>
            <w:shd w:fill="F8FAFC"/>
          </w:tcPr>
          <w:p>
            <w:pPr>
              <w:spacing w:after="0"/>
            </w:pPr>
            <w:r>
              <w:rPr>
                <w:rFonts w:ascii="Arial" w:hAnsi="Arial"/>
                <w:color w:val="0F172A"/>
                <w:sz w:val="17"/>
              </w:rPr>
              <w:t>2</w:t>
            </w:r>
          </w:p>
        </w:tc>
      </w:tr>
      <w:tr>
        <w:tc>
          <w:tcPr>
            <w:tcW w:type="dxa" w:w="5472"/>
            <w:vAlign w:val="center"/>
            <w:tcMar>
              <w:top w:w="80" w:type="dxa"/>
              <w:bottom w:w="80" w:type="dxa"/>
              <w:left w:w="120" w:type="dxa"/>
              <w:right w:w="120" w:type="dxa"/>
            </w:tcMar>
            <w:shd w:fill="FFFFFF"/>
          </w:tcPr>
          <w:p>
            <w:pPr>
              <w:spacing w:after="0"/>
            </w:pPr>
            <w:r>
              <w:rPr>
                <w:rFonts w:ascii="Arial" w:hAnsi="Arial"/>
                <w:color w:val="0F172A"/>
                <w:sz w:val="17"/>
              </w:rPr>
              <w:t>Table of Contents &amp; Report Navigation</w:t>
            </w:r>
          </w:p>
        </w:tc>
        <w:tc>
          <w:tcPr>
            <w:tcW w:type="dxa" w:w="3125"/>
            <w:vAlign w:val="center"/>
            <w:tcMar>
              <w:top w:w="80" w:type="dxa"/>
              <w:bottom w:w="80" w:type="dxa"/>
              <w:left w:w="120" w:type="dxa"/>
              <w:right w:w="120" w:type="dxa"/>
            </w:tcMar>
            <w:shd w:fill="FFFFFF"/>
          </w:tcPr>
          <w:p>
            <w:pPr>
              <w:spacing w:after="0"/>
            </w:pPr>
            <w:r>
              <w:rPr>
                <w:rFonts w:ascii="Arial" w:hAnsi="Arial"/>
                <w:color w:val="0F172A"/>
                <w:sz w:val="17"/>
              </w:rPr>
              <w:t>TOC</w:t>
            </w:r>
          </w:p>
        </w:tc>
        <w:tc>
          <w:tcPr>
            <w:tcW w:type="dxa" w:w="1152"/>
            <w:vAlign w:val="center"/>
            <w:tcMar>
              <w:top w:w="80" w:type="dxa"/>
              <w:bottom w:w="80" w:type="dxa"/>
              <w:left w:w="120" w:type="dxa"/>
              <w:right w:w="120" w:type="dxa"/>
            </w:tcMar>
            <w:shd w:fill="FFFFFF"/>
          </w:tcPr>
          <w:p>
            <w:pPr>
              <w:spacing w:after="0"/>
            </w:pPr>
            <w:r>
              <w:rPr>
                <w:rFonts w:ascii="Arial" w:hAnsi="Arial"/>
                <w:color w:val="0F172A"/>
                <w:sz w:val="17"/>
              </w:rPr>
              <w:t>3</w:t>
            </w:r>
          </w:p>
        </w:tc>
      </w:tr>
      <w:tr>
        <w:tc>
          <w:tcPr>
            <w:tcW w:type="dxa" w:w="5472"/>
            <w:vAlign w:val="center"/>
            <w:tcMar>
              <w:top w:w="80" w:type="dxa"/>
              <w:bottom w:w="80" w:type="dxa"/>
              <w:left w:w="120" w:type="dxa"/>
              <w:right w:w="120" w:type="dxa"/>
            </w:tcMar>
            <w:shd w:fill="F8FAFC"/>
          </w:tcPr>
          <w:p>
            <w:pPr>
              <w:spacing w:after="0"/>
            </w:pPr>
            <w:r>
              <w:rPr>
                <w:rFonts w:ascii="Arial" w:hAnsi="Arial"/>
                <w:color w:val="0F172A"/>
                <w:sz w:val="17"/>
              </w:rPr>
              <w:t>Section 01: Business &amp; Market Overview</w:t>
            </w:r>
          </w:p>
        </w:tc>
        <w:tc>
          <w:tcPr>
            <w:tcW w:type="dxa" w:w="3125"/>
            <w:vAlign w:val="center"/>
            <w:tcMar>
              <w:top w:w="80" w:type="dxa"/>
              <w:bottom w:w="80" w:type="dxa"/>
              <w:left w:w="120" w:type="dxa"/>
              <w:right w:w="120" w:type="dxa"/>
            </w:tcMar>
            <w:shd w:fill="F8FAFC"/>
          </w:tcPr>
          <w:p>
            <w:pPr>
              <w:spacing w:after="0"/>
            </w:pPr>
            <w:r>
              <w:rPr>
                <w:rFonts w:ascii="Arial" w:hAnsi="Arial"/>
                <w:color w:val="0F172A"/>
                <w:sz w:val="17"/>
              </w:rPr>
              <w:t>SEC_01</w:t>
            </w:r>
          </w:p>
        </w:tc>
        <w:tc>
          <w:tcPr>
            <w:tcW w:type="dxa" w:w="1152"/>
            <w:vAlign w:val="center"/>
            <w:tcMar>
              <w:top w:w="80" w:type="dxa"/>
              <w:bottom w:w="80" w:type="dxa"/>
              <w:left w:w="120" w:type="dxa"/>
              <w:right w:w="120" w:type="dxa"/>
            </w:tcMar>
            <w:shd w:fill="F8FAFC"/>
          </w:tcPr>
          <w:p>
            <w:pPr>
              <w:spacing w:after="0"/>
            </w:pPr>
            <w:r>
              <w:rPr>
                <w:rFonts w:ascii="Arial" w:hAnsi="Arial"/>
                <w:color w:val="0F172A"/>
                <w:sz w:val="17"/>
              </w:rPr>
              <w:t>4</w:t>
            </w:r>
          </w:p>
        </w:tc>
      </w:tr>
      <w:tr>
        <w:tc>
          <w:tcPr>
            <w:tcW w:type="dxa" w:w="5472"/>
            <w:vAlign w:val="center"/>
            <w:tcMar>
              <w:top w:w="80" w:type="dxa"/>
              <w:bottom w:w="80" w:type="dxa"/>
              <w:left w:w="120" w:type="dxa"/>
              <w:right w:w="120" w:type="dxa"/>
            </w:tcMar>
            <w:shd w:fill="FFFFFF"/>
          </w:tcPr>
          <w:p>
            <w:pPr>
              <w:spacing w:after="0"/>
            </w:pPr>
            <w:r>
              <w:rPr>
                <w:rFonts w:ascii="Arial" w:hAnsi="Arial"/>
                <w:color w:val="0F172A"/>
                <w:sz w:val="17"/>
              </w:rPr>
              <w:t>Section 02: AI Feasibility Assessment &amp; SHAP Drivers</w:t>
            </w:r>
          </w:p>
        </w:tc>
        <w:tc>
          <w:tcPr>
            <w:tcW w:type="dxa" w:w="3125"/>
            <w:vAlign w:val="center"/>
            <w:tcMar>
              <w:top w:w="80" w:type="dxa"/>
              <w:bottom w:w="80" w:type="dxa"/>
              <w:left w:w="120" w:type="dxa"/>
              <w:right w:w="120" w:type="dxa"/>
            </w:tcMar>
            <w:shd w:fill="FFFFFF"/>
          </w:tcPr>
          <w:p>
            <w:pPr>
              <w:spacing w:after="0"/>
            </w:pPr>
            <w:r>
              <w:rPr>
                <w:rFonts w:ascii="Arial" w:hAnsi="Arial"/>
                <w:color w:val="0F172A"/>
                <w:sz w:val="17"/>
              </w:rPr>
              <w:t>SEC_02</w:t>
            </w:r>
          </w:p>
        </w:tc>
        <w:tc>
          <w:tcPr>
            <w:tcW w:type="dxa" w:w="1152"/>
            <w:vAlign w:val="center"/>
            <w:tcMar>
              <w:top w:w="80" w:type="dxa"/>
              <w:bottom w:w="80" w:type="dxa"/>
              <w:left w:w="120" w:type="dxa"/>
              <w:right w:w="120" w:type="dxa"/>
            </w:tcMar>
            <w:shd w:fill="FFFFFF"/>
          </w:tcPr>
          <w:p>
            <w:pPr>
              <w:spacing w:after="0"/>
            </w:pPr>
            <w:r>
              <w:rPr>
                <w:rFonts w:ascii="Arial" w:hAnsi="Arial"/>
                <w:color w:val="0F172A"/>
                <w:sz w:val="17"/>
              </w:rPr>
              <w:t>5</w:t>
            </w:r>
          </w:p>
        </w:tc>
      </w:tr>
      <w:tr>
        <w:tc>
          <w:tcPr>
            <w:tcW w:type="dxa" w:w="5472"/>
            <w:vAlign w:val="center"/>
            <w:tcMar>
              <w:top w:w="80" w:type="dxa"/>
              <w:bottom w:w="80" w:type="dxa"/>
              <w:left w:w="120" w:type="dxa"/>
              <w:right w:w="120" w:type="dxa"/>
            </w:tcMar>
            <w:shd w:fill="F8FAFC"/>
          </w:tcPr>
          <w:p>
            <w:pPr>
              <w:spacing w:after="0"/>
            </w:pPr>
            <w:r>
              <w:rPr>
                <w:rFonts w:ascii="Arial" w:hAnsi="Arial"/>
                <w:color w:val="0F172A"/>
                <w:sz w:val="17"/>
              </w:rPr>
              <w:t>Section 03: Strategic Alternatives &amp; TOPSIS Multi-Criteria Prioritization</w:t>
            </w:r>
          </w:p>
        </w:tc>
        <w:tc>
          <w:tcPr>
            <w:tcW w:type="dxa" w:w="3125"/>
            <w:vAlign w:val="center"/>
            <w:tcMar>
              <w:top w:w="80" w:type="dxa"/>
              <w:bottom w:w="80" w:type="dxa"/>
              <w:left w:w="120" w:type="dxa"/>
              <w:right w:w="120" w:type="dxa"/>
            </w:tcMar>
            <w:shd w:fill="F8FAFC"/>
          </w:tcPr>
          <w:p>
            <w:pPr>
              <w:spacing w:after="0"/>
            </w:pPr>
            <w:r>
              <w:rPr>
                <w:rFonts w:ascii="Arial" w:hAnsi="Arial"/>
                <w:color w:val="0F172A"/>
                <w:sz w:val="17"/>
              </w:rPr>
              <w:t>SEC_03</w:t>
            </w:r>
          </w:p>
        </w:tc>
        <w:tc>
          <w:tcPr>
            <w:tcW w:type="dxa" w:w="1152"/>
            <w:vAlign w:val="center"/>
            <w:tcMar>
              <w:top w:w="80" w:type="dxa"/>
              <w:bottom w:w="80" w:type="dxa"/>
              <w:left w:w="120" w:type="dxa"/>
              <w:right w:w="120" w:type="dxa"/>
            </w:tcMar>
            <w:shd w:fill="F8FAFC"/>
          </w:tcPr>
          <w:p>
            <w:pPr>
              <w:spacing w:after="0"/>
            </w:pPr>
            <w:r>
              <w:rPr>
                <w:rFonts w:ascii="Arial" w:hAnsi="Arial"/>
                <w:color w:val="0F172A"/>
                <w:sz w:val="17"/>
              </w:rPr>
              <w:t>6</w:t>
            </w:r>
          </w:p>
        </w:tc>
      </w:tr>
      <w:tr>
        <w:tc>
          <w:tcPr>
            <w:tcW w:type="dxa" w:w="5472"/>
            <w:vAlign w:val="center"/>
            <w:tcMar>
              <w:top w:w="80" w:type="dxa"/>
              <w:bottom w:w="80" w:type="dxa"/>
              <w:left w:w="120" w:type="dxa"/>
              <w:right w:w="120" w:type="dxa"/>
            </w:tcMar>
            <w:shd w:fill="FFFFFF"/>
          </w:tcPr>
          <w:p>
            <w:pPr>
              <w:spacing w:after="0"/>
            </w:pPr>
            <w:r>
              <w:rPr>
                <w:rFonts w:ascii="Arial" w:hAnsi="Arial"/>
                <w:color w:val="0F172A"/>
                <w:sz w:val="17"/>
              </w:rPr>
              <w:t>Section 04: Financial Architecture, 12-Month Projections &amp; Operations</w:t>
            </w:r>
          </w:p>
        </w:tc>
        <w:tc>
          <w:tcPr>
            <w:tcW w:type="dxa" w:w="3125"/>
            <w:vAlign w:val="center"/>
            <w:tcMar>
              <w:top w:w="80" w:type="dxa"/>
              <w:bottom w:w="80" w:type="dxa"/>
              <w:left w:w="120" w:type="dxa"/>
              <w:right w:w="120" w:type="dxa"/>
            </w:tcMar>
            <w:shd w:fill="FFFFFF"/>
          </w:tcPr>
          <w:p>
            <w:pPr>
              <w:spacing w:after="0"/>
            </w:pPr>
            <w:r>
              <w:rPr>
                <w:rFonts w:ascii="Arial" w:hAnsi="Arial"/>
                <w:color w:val="0F172A"/>
                <w:sz w:val="17"/>
              </w:rPr>
              <w:t>SEC_04</w:t>
            </w:r>
          </w:p>
        </w:tc>
        <w:tc>
          <w:tcPr>
            <w:tcW w:type="dxa" w:w="1152"/>
            <w:vAlign w:val="center"/>
            <w:tcMar>
              <w:top w:w="80" w:type="dxa"/>
              <w:bottom w:w="80" w:type="dxa"/>
              <w:left w:w="120" w:type="dxa"/>
              <w:right w:w="120" w:type="dxa"/>
            </w:tcMar>
            <w:shd w:fill="FFFFFF"/>
          </w:tcPr>
          <w:p>
            <w:pPr>
              <w:spacing w:after="0"/>
            </w:pPr>
            <w:r>
              <w:rPr>
                <w:rFonts w:ascii="Arial" w:hAnsi="Arial"/>
                <w:color w:val="0F172A"/>
                <w:sz w:val="17"/>
              </w:rPr>
              <w:t>7</w:t>
            </w:r>
          </w:p>
        </w:tc>
      </w:tr>
      <w:tr>
        <w:tc>
          <w:tcPr>
            <w:tcW w:type="dxa" w:w="5472"/>
            <w:vAlign w:val="center"/>
            <w:tcMar>
              <w:top w:w="80" w:type="dxa"/>
              <w:bottom w:w="80" w:type="dxa"/>
              <w:left w:w="120" w:type="dxa"/>
              <w:right w:w="120" w:type="dxa"/>
            </w:tcMar>
            <w:shd w:fill="F8FAFC"/>
          </w:tcPr>
          <w:p>
            <w:pPr>
              <w:spacing w:after="0"/>
            </w:pPr>
            <w:r>
              <w:rPr>
                <w:rFonts w:ascii="Arial" w:hAnsi="Arial"/>
                <w:color w:val="0F172A"/>
                <w:sz w:val="17"/>
              </w:rPr>
              <w:t>Section 05: What-If Sensitivity Simulations &amp; Action Roadmap</w:t>
            </w:r>
          </w:p>
        </w:tc>
        <w:tc>
          <w:tcPr>
            <w:tcW w:type="dxa" w:w="3125"/>
            <w:vAlign w:val="center"/>
            <w:tcMar>
              <w:top w:w="80" w:type="dxa"/>
              <w:bottom w:w="80" w:type="dxa"/>
              <w:left w:w="120" w:type="dxa"/>
              <w:right w:w="120" w:type="dxa"/>
            </w:tcMar>
            <w:shd w:fill="F8FAFC"/>
          </w:tcPr>
          <w:p>
            <w:pPr>
              <w:spacing w:after="0"/>
            </w:pPr>
            <w:r>
              <w:rPr>
                <w:rFonts w:ascii="Arial" w:hAnsi="Arial"/>
                <w:color w:val="0F172A"/>
                <w:sz w:val="17"/>
              </w:rPr>
              <w:t>SEC_05</w:t>
            </w:r>
          </w:p>
        </w:tc>
        <w:tc>
          <w:tcPr>
            <w:tcW w:type="dxa" w:w="1152"/>
            <w:vAlign w:val="center"/>
            <w:tcMar>
              <w:top w:w="80" w:type="dxa"/>
              <w:bottom w:w="80" w:type="dxa"/>
              <w:left w:w="120" w:type="dxa"/>
              <w:right w:w="120" w:type="dxa"/>
            </w:tcMar>
            <w:shd w:fill="F8FAFC"/>
          </w:tcPr>
          <w:p>
            <w:pPr>
              <w:spacing w:after="0"/>
            </w:pPr>
            <w:r>
              <w:rPr>
                <w:rFonts w:ascii="Arial" w:hAnsi="Arial"/>
                <w:color w:val="0F172A"/>
                <w:sz w:val="17"/>
              </w:rPr>
              <w:t>8</w:t>
            </w:r>
          </w:p>
        </w:tc>
      </w:tr>
      <w:tr>
        <w:tc>
          <w:tcPr>
            <w:tcW w:type="dxa" w:w="5472"/>
            <w:vAlign w:val="center"/>
            <w:tcMar>
              <w:top w:w="80" w:type="dxa"/>
              <w:bottom w:w="80" w:type="dxa"/>
              <w:left w:w="120" w:type="dxa"/>
              <w:right w:w="120" w:type="dxa"/>
            </w:tcMar>
            <w:shd w:fill="FFFFFF"/>
          </w:tcPr>
          <w:p>
            <w:pPr>
              <w:spacing w:after="0"/>
            </w:pPr>
            <w:r>
              <w:rPr>
                <w:rFonts w:ascii="Arial" w:hAnsi="Arial"/>
                <w:color w:val="0F172A"/>
                <w:sz w:val="17"/>
              </w:rPr>
              <w:t>Section 06: Sri Lanka Regulatory Compliance &amp; Enterprise Risk Register</w:t>
            </w:r>
          </w:p>
        </w:tc>
        <w:tc>
          <w:tcPr>
            <w:tcW w:type="dxa" w:w="3125"/>
            <w:vAlign w:val="center"/>
            <w:tcMar>
              <w:top w:w="80" w:type="dxa"/>
              <w:bottom w:w="80" w:type="dxa"/>
              <w:left w:w="120" w:type="dxa"/>
              <w:right w:w="120" w:type="dxa"/>
            </w:tcMar>
            <w:shd w:fill="FFFFFF"/>
          </w:tcPr>
          <w:p>
            <w:pPr>
              <w:spacing w:after="0"/>
            </w:pPr>
            <w:r>
              <w:rPr>
                <w:rFonts w:ascii="Arial" w:hAnsi="Arial"/>
                <w:color w:val="0F172A"/>
                <w:sz w:val="17"/>
              </w:rPr>
              <w:t>SEC_06</w:t>
            </w:r>
          </w:p>
        </w:tc>
        <w:tc>
          <w:tcPr>
            <w:tcW w:type="dxa" w:w="1152"/>
            <w:vAlign w:val="center"/>
            <w:tcMar>
              <w:top w:w="80" w:type="dxa"/>
              <w:bottom w:w="80" w:type="dxa"/>
              <w:left w:w="120" w:type="dxa"/>
              <w:right w:w="120" w:type="dxa"/>
            </w:tcMar>
            <w:shd w:fill="FFFFFF"/>
          </w:tcPr>
          <w:p>
            <w:pPr>
              <w:spacing w:after="0"/>
            </w:pPr>
            <w:r>
              <w:rPr>
                <w:rFonts w:ascii="Arial" w:hAnsi="Arial"/>
                <w:color w:val="0F172A"/>
                <w:sz w:val="17"/>
              </w:rPr>
              <w:t>9</w:t>
            </w:r>
          </w:p>
        </w:tc>
      </w:tr>
      <w:tr>
        <w:tc>
          <w:tcPr>
            <w:tcW w:type="dxa" w:w="5472"/>
            <w:vAlign w:val="center"/>
            <w:tcMar>
              <w:top w:w="80" w:type="dxa"/>
              <w:bottom w:w="80" w:type="dxa"/>
              <w:left w:w="120" w:type="dxa"/>
              <w:right w:w="120" w:type="dxa"/>
            </w:tcMar>
            <w:shd w:fill="F8FAFC"/>
          </w:tcPr>
          <w:p>
            <w:pPr>
              <w:spacing w:after="0"/>
            </w:pPr>
            <w:r>
              <w:rPr>
                <w:rFonts w:ascii="Arial" w:hAnsi="Arial"/>
                <w:color w:val="0F172A"/>
                <w:sz w:val="17"/>
              </w:rPr>
              <w:t>Appendix: Machine Learning Reliability, TOPSIS Criteria &amp; Plain-Language Glossary</w:t>
            </w:r>
          </w:p>
        </w:tc>
        <w:tc>
          <w:tcPr>
            <w:tcW w:type="dxa" w:w="3125"/>
            <w:vAlign w:val="center"/>
            <w:tcMar>
              <w:top w:w="80" w:type="dxa"/>
              <w:bottom w:w="80" w:type="dxa"/>
              <w:left w:w="120" w:type="dxa"/>
              <w:right w:w="120" w:type="dxa"/>
            </w:tcMar>
            <w:shd w:fill="F8FAFC"/>
          </w:tcPr>
          <w:p>
            <w:pPr>
              <w:spacing w:after="0"/>
            </w:pPr>
            <w:r>
              <w:rPr>
                <w:rFonts w:ascii="Arial" w:hAnsi="Arial"/>
                <w:color w:val="0F172A"/>
                <w:sz w:val="17"/>
              </w:rPr>
              <w:t>APPENDIX</w:t>
            </w:r>
          </w:p>
        </w:tc>
        <w:tc>
          <w:tcPr>
            <w:tcW w:type="dxa" w:w="1152"/>
            <w:vAlign w:val="center"/>
            <w:tcMar>
              <w:top w:w="80" w:type="dxa"/>
              <w:bottom w:w="80" w:type="dxa"/>
              <w:left w:w="120" w:type="dxa"/>
              <w:right w:w="120" w:type="dxa"/>
            </w:tcMar>
            <w:shd w:fill="F8FAFC"/>
          </w:tcPr>
          <w:p>
            <w:pPr>
              <w:spacing w:after="0"/>
            </w:pPr>
            <w:r>
              <w:rPr>
                <w:rFonts w:ascii="Arial" w:hAnsi="Arial"/>
                <w:color w:val="0F172A"/>
                <w:sz w:val="17"/>
              </w:rPr>
              <w:t>10</w:t>
            </w:r>
          </w:p>
        </w:tc>
      </w:tr>
    </w:tbl>
    <w:p>
      <w:r>
        <w:br w:type="page"/>
      </w:r>
    </w:p>
    <w:p>
      <w:pPr>
        <w:keepNext/>
        <w:spacing w:before="280" w:after="100"/>
      </w:pPr>
      <w:r>
        <w:rPr>
          <w:rFonts w:ascii="Arial" w:hAnsi="Arial"/>
          <w:b/>
          <w:color w:val="1E3A8A"/>
          <w:sz w:val="30"/>
        </w:rPr>
        <w:t>01 — Business &amp; Market Overview</w:t>
      </w:r>
    </w:p>
    <w:p>
      <w:pPr>
        <w:keepNext/>
        <w:spacing w:before="200" w:after="60"/>
      </w:pPr>
      <w:r>
        <w:rPr>
          <w:rFonts w:ascii="Arial" w:hAnsi="Arial"/>
          <w:b/>
          <w:color w:val="1E3A8A"/>
          <w:sz w:val="22"/>
        </w:rPr>
        <w:t>1.1 Business Concept &amp; Competitive Positioning</w:t>
      </w:r>
    </w:p>
    <w:p>
      <w:pPr>
        <w:spacing w:after="80" w:line="276" w:lineRule="auto"/>
      </w:pPr>
      <w:r>
        <w:rPr>
          <w:rFonts w:ascii="Arial" w:hAnsi="Arial"/>
          <w:color w:val="0F172A"/>
          <w:sz w:val="19"/>
        </w:rPr>
        <w:t>ASDF SALOON is an enterprise operating as a New Startup in the Beauty Salon sector, located in Gampaha, Western Province, Sri Lanka. The enterprise adopts the 'Hybrid Digital Booking &amp; Home-Visit Model' framework, prioritizing high service quality, transparent pricing, and customer relationship building.</w:t>
      </w:r>
    </w:p>
    <w:p>
      <w:pPr>
        <w:keepNext/>
        <w:spacing w:before="200" w:after="60"/>
      </w:pPr>
      <w:r>
        <w:rPr>
          <w:rFonts w:ascii="Arial" w:hAnsi="Arial"/>
          <w:b/>
          <w:color w:val="1E3A8A"/>
          <w:sz w:val="22"/>
        </w:rPr>
        <w:t>1.2 Local Competitive Environment (Issue 5)</w:t>
      </w:r>
    </w:p>
    <w:p>
      <w:pPr>
        <w:spacing w:after="80" w:line="276" w:lineRule="auto"/>
      </w:pPr>
      <w:r>
        <w:rPr>
          <w:rFonts w:ascii="Arial" w:hAnsi="Arial"/>
          <w:b/>
          <w:color w:val="0F172A"/>
          <w:sz w:val="19"/>
        </w:rPr>
        <w:t xml:space="preserve">Competitive Landscape: </w:t>
      </w:r>
      <w:r>
        <w:rPr>
          <w:rFonts w:ascii="Arial" w:hAnsi="Arial"/>
          <w:color w:val="0F172A"/>
          <w:sz w:val="19"/>
        </w:rPr>
        <w:t>Moderate (0 direct storefront competitors within immediate 1 km vicinity; moderate competition stems from home-based practitioners, mobile stylists, and neighboring commercial centers).</w:t>
      </w:r>
    </w:p>
    <w:p>
      <w:pPr>
        <w:keepNext/>
        <w:spacing w:before="200" w:after="60"/>
      </w:pPr>
      <w:r>
        <w:rPr>
          <w:rFonts w:ascii="Arial" w:hAnsi="Arial"/>
          <w:b/>
          <w:color w:val="1E3A8A"/>
          <w:sz w:val="22"/>
        </w:rPr>
        <w:t>1.3 Category Operations Architecture (Issue 15)</w:t>
      </w:r>
    </w:p>
    <w:p>
      <w:pPr>
        <w:keepNext/>
        <w:spacing w:before="140" w:after="40"/>
      </w:pPr>
      <w:r>
        <w:rPr>
          <w:rFonts w:ascii="Arial" w:hAnsi="Arial"/>
          <w:b/>
          <w:color w:val="0F172A"/>
          <w:sz w:val="20"/>
        </w:rPr>
        <w:t>Service Menu Tiers &amp; Target Margins</w:t>
      </w:r>
    </w:p>
    <w:tbl>
      <w:tblPr>
        <w:tblW w:type="auto" w:w="0"/>
        <w:jc w:val="center"/>
        <w:tblLook w:firstColumn="1" w:firstRow="1" w:lastColumn="0" w:lastRow="0" w:noHBand="0" w:noVBand="1" w:val="04A0"/>
      </w:tblPr>
      <w:tblGrid>
        <w:gridCol w:w="2437"/>
        <w:gridCol w:w="2437"/>
        <w:gridCol w:w="2437"/>
        <w:gridCol w:w="2437"/>
      </w:tblGrid>
      <w:tr>
        <w:tc>
          <w:tcPr>
            <w:tcW w:type="dxa" w:w="2592"/>
            <w:vAlign w:val="center"/>
            <w:tcMar>
              <w:top w:w="80" w:type="dxa"/>
              <w:bottom w:w="80" w:type="dxa"/>
              <w:left w:w="120" w:type="dxa"/>
              <w:right w:w="120" w:type="dxa"/>
            </w:tcMar>
            <w:shd w:fill="1E3A8A"/>
          </w:tcPr>
          <w:p>
            <w:pPr>
              <w:spacing w:after="0"/>
            </w:pPr>
            <w:r>
              <w:rPr>
                <w:rFonts w:ascii="Arial" w:hAnsi="Arial"/>
                <w:b/>
                <w:color w:val="FFFFFF"/>
                <w:sz w:val="17"/>
              </w:rPr>
              <w:t>Service Tier</w:t>
            </w:r>
          </w:p>
        </w:tc>
        <w:tc>
          <w:tcPr>
            <w:tcW w:type="dxa" w:w="3989"/>
            <w:vAlign w:val="center"/>
            <w:tcMar>
              <w:top w:w="80" w:type="dxa"/>
              <w:bottom w:w="80" w:type="dxa"/>
              <w:left w:w="120" w:type="dxa"/>
              <w:right w:w="120" w:type="dxa"/>
            </w:tcMar>
            <w:shd w:fill="1E3A8A"/>
          </w:tcPr>
          <w:p>
            <w:pPr>
              <w:spacing w:after="0"/>
            </w:pPr>
            <w:r>
              <w:rPr>
                <w:rFonts w:ascii="Arial" w:hAnsi="Arial"/>
                <w:b/>
                <w:color w:val="FFFFFF"/>
                <w:sz w:val="17"/>
              </w:rPr>
              <w:t>Core Offerings</w:t>
            </w:r>
          </w:p>
        </w:tc>
        <w:tc>
          <w:tcPr>
            <w:tcW w:type="dxa" w:w="1872"/>
            <w:vAlign w:val="center"/>
            <w:tcMar>
              <w:top w:w="80" w:type="dxa"/>
              <w:bottom w:w="80" w:type="dxa"/>
              <w:left w:w="120" w:type="dxa"/>
              <w:right w:w="120" w:type="dxa"/>
            </w:tcMar>
            <w:shd w:fill="1E3A8A"/>
          </w:tcPr>
          <w:p>
            <w:pPr>
              <w:spacing w:after="0"/>
            </w:pPr>
            <w:r>
              <w:rPr>
                <w:rFonts w:ascii="Arial" w:hAnsi="Arial"/>
                <w:b/>
                <w:color w:val="FFFFFF"/>
                <w:sz w:val="17"/>
              </w:rPr>
              <w:t>Price Range (LKR)</w:t>
            </w:r>
          </w:p>
        </w:tc>
        <w:tc>
          <w:tcPr>
            <w:tcW w:type="dxa" w:w="1296"/>
            <w:vAlign w:val="center"/>
            <w:tcMar>
              <w:top w:w="80" w:type="dxa"/>
              <w:bottom w:w="80" w:type="dxa"/>
              <w:left w:w="120" w:type="dxa"/>
              <w:right w:w="120" w:type="dxa"/>
            </w:tcMar>
            <w:shd w:fill="1E3A8A"/>
          </w:tcPr>
          <w:p>
            <w:pPr>
              <w:spacing w:after="0"/>
            </w:pPr>
            <w:r>
              <w:rPr>
                <w:rFonts w:ascii="Arial" w:hAnsi="Arial"/>
                <w:b/>
                <w:color w:val="FFFFFF"/>
                <w:sz w:val="17"/>
              </w:rPr>
              <w:t>Gross Margin</w:t>
            </w:r>
          </w:p>
        </w:tc>
      </w:tr>
      <w:tr>
        <w:tc>
          <w:tcPr>
            <w:tcW w:type="dxa" w:w="2592"/>
            <w:vAlign w:val="center"/>
            <w:tcMar>
              <w:top w:w="80" w:type="dxa"/>
              <w:bottom w:w="80" w:type="dxa"/>
              <w:left w:w="120" w:type="dxa"/>
              <w:right w:w="120" w:type="dxa"/>
            </w:tcMar>
            <w:shd w:fill="FFFFFF"/>
          </w:tcPr>
          <w:p>
            <w:pPr>
              <w:spacing w:after="0"/>
            </w:pPr>
            <w:r>
              <w:rPr>
                <w:rFonts w:ascii="Arial" w:hAnsi="Arial"/>
                <w:color w:val="0F172A"/>
                <w:sz w:val="17"/>
              </w:rPr>
              <w:t>Essential Haircare</w:t>
            </w:r>
          </w:p>
        </w:tc>
        <w:tc>
          <w:tcPr>
            <w:tcW w:type="dxa" w:w="3989"/>
            <w:vAlign w:val="center"/>
            <w:tcMar>
              <w:top w:w="80" w:type="dxa"/>
              <w:bottom w:w="80" w:type="dxa"/>
              <w:left w:w="120" w:type="dxa"/>
              <w:right w:w="120" w:type="dxa"/>
            </w:tcMar>
            <w:shd w:fill="FFFFFF"/>
          </w:tcPr>
          <w:p>
            <w:pPr>
              <w:spacing w:after="0"/>
            </w:pPr>
            <w:r>
              <w:rPr>
                <w:rFonts w:ascii="Arial" w:hAnsi="Arial"/>
                <w:color w:val="0F172A"/>
                <w:sz w:val="17"/>
              </w:rPr>
              <w:t>Haircut, styling, wash &amp; blow-dry, oil treatments</w:t>
            </w:r>
          </w:p>
        </w:tc>
        <w:tc>
          <w:tcPr>
            <w:tcW w:type="dxa" w:w="1872"/>
            <w:vAlign w:val="center"/>
            <w:tcMar>
              <w:top w:w="80" w:type="dxa"/>
              <w:bottom w:w="80" w:type="dxa"/>
              <w:left w:w="120" w:type="dxa"/>
              <w:right w:w="120" w:type="dxa"/>
            </w:tcMar>
            <w:shd w:fill="FFFFFF"/>
          </w:tcPr>
          <w:p>
            <w:pPr>
              <w:spacing w:after="0"/>
            </w:pPr>
            <w:r>
              <w:rPr>
                <w:rFonts w:ascii="Arial" w:hAnsi="Arial"/>
                <w:color w:val="0F172A"/>
                <w:sz w:val="17"/>
              </w:rPr>
              <w:t>LKR 800 – 2,500</w:t>
            </w:r>
          </w:p>
        </w:tc>
        <w:tc>
          <w:tcPr>
            <w:tcW w:type="dxa" w:w="1296"/>
            <w:vAlign w:val="center"/>
            <w:tcMar>
              <w:top w:w="80" w:type="dxa"/>
              <w:bottom w:w="80" w:type="dxa"/>
              <w:left w:w="120" w:type="dxa"/>
              <w:right w:w="120" w:type="dxa"/>
            </w:tcMar>
            <w:shd w:fill="FFFFFF"/>
          </w:tcPr>
          <w:p>
            <w:pPr>
              <w:spacing w:after="0"/>
            </w:pPr>
            <w:r>
              <w:rPr>
                <w:rFonts w:ascii="Arial" w:hAnsi="Arial"/>
                <w:color w:val="0F172A"/>
                <w:sz w:val="17"/>
              </w:rPr>
              <w:t>75%</w:t>
            </w:r>
          </w:p>
        </w:tc>
      </w:tr>
      <w:tr>
        <w:tc>
          <w:tcPr>
            <w:tcW w:type="dxa" w:w="2592"/>
            <w:vAlign w:val="center"/>
            <w:tcMar>
              <w:top w:w="80" w:type="dxa"/>
              <w:bottom w:w="80" w:type="dxa"/>
              <w:left w:w="120" w:type="dxa"/>
              <w:right w:w="120" w:type="dxa"/>
            </w:tcMar>
            <w:shd w:fill="F8FAFC"/>
          </w:tcPr>
          <w:p>
            <w:pPr>
              <w:spacing w:after="0"/>
            </w:pPr>
            <w:r>
              <w:rPr>
                <w:rFonts w:ascii="Arial" w:hAnsi="Arial"/>
                <w:color w:val="0F172A"/>
                <w:sz w:val="17"/>
              </w:rPr>
              <w:t>Skincare &amp; Facial Aesthetics</w:t>
            </w:r>
          </w:p>
        </w:tc>
        <w:tc>
          <w:tcPr>
            <w:tcW w:type="dxa" w:w="3989"/>
            <w:vAlign w:val="center"/>
            <w:tcMar>
              <w:top w:w="80" w:type="dxa"/>
              <w:bottom w:w="80" w:type="dxa"/>
              <w:left w:w="120" w:type="dxa"/>
              <w:right w:w="120" w:type="dxa"/>
            </w:tcMar>
            <w:shd w:fill="F8FAFC"/>
          </w:tcPr>
          <w:p>
            <w:pPr>
              <w:spacing w:after="0"/>
            </w:pPr>
            <w:r>
              <w:rPr>
                <w:rFonts w:ascii="Arial" w:hAnsi="Arial"/>
                <w:color w:val="0F172A"/>
                <w:sz w:val="17"/>
              </w:rPr>
              <w:t>Clean-ups, herbal facials, threading, waxing, detan</w:t>
            </w:r>
          </w:p>
        </w:tc>
        <w:tc>
          <w:tcPr>
            <w:tcW w:type="dxa" w:w="1872"/>
            <w:vAlign w:val="center"/>
            <w:tcMar>
              <w:top w:w="80" w:type="dxa"/>
              <w:bottom w:w="80" w:type="dxa"/>
              <w:left w:w="120" w:type="dxa"/>
              <w:right w:w="120" w:type="dxa"/>
            </w:tcMar>
            <w:shd w:fill="F8FAFC"/>
          </w:tcPr>
          <w:p>
            <w:pPr>
              <w:spacing w:after="0"/>
            </w:pPr>
            <w:r>
              <w:rPr>
                <w:rFonts w:ascii="Arial" w:hAnsi="Arial"/>
                <w:color w:val="0F172A"/>
                <w:sz w:val="17"/>
              </w:rPr>
              <w:t>LKR 1,500 – 6,000</w:t>
            </w:r>
          </w:p>
        </w:tc>
        <w:tc>
          <w:tcPr>
            <w:tcW w:type="dxa" w:w="1296"/>
            <w:vAlign w:val="center"/>
            <w:tcMar>
              <w:top w:w="80" w:type="dxa"/>
              <w:bottom w:w="80" w:type="dxa"/>
              <w:left w:w="120" w:type="dxa"/>
              <w:right w:w="120" w:type="dxa"/>
            </w:tcMar>
            <w:shd w:fill="F8FAFC"/>
          </w:tcPr>
          <w:p>
            <w:pPr>
              <w:spacing w:after="0"/>
            </w:pPr>
            <w:r>
              <w:rPr>
                <w:rFonts w:ascii="Arial" w:hAnsi="Arial"/>
                <w:color w:val="0F172A"/>
                <w:sz w:val="17"/>
              </w:rPr>
              <w:t>80%</w:t>
            </w:r>
          </w:p>
        </w:tc>
      </w:tr>
      <w:tr>
        <w:tc>
          <w:tcPr>
            <w:tcW w:type="dxa" w:w="2592"/>
            <w:vAlign w:val="center"/>
            <w:tcMar>
              <w:top w:w="80" w:type="dxa"/>
              <w:bottom w:w="80" w:type="dxa"/>
              <w:left w:w="120" w:type="dxa"/>
              <w:right w:w="120" w:type="dxa"/>
            </w:tcMar>
            <w:shd w:fill="FFFFFF"/>
          </w:tcPr>
          <w:p>
            <w:pPr>
              <w:spacing w:after="0"/>
            </w:pPr>
            <w:r>
              <w:rPr>
                <w:rFonts w:ascii="Arial" w:hAnsi="Arial"/>
                <w:color w:val="0F172A"/>
                <w:sz w:val="17"/>
              </w:rPr>
              <w:t>Nail &amp; Pedicure / Manicure</w:t>
            </w:r>
          </w:p>
        </w:tc>
        <w:tc>
          <w:tcPr>
            <w:tcW w:type="dxa" w:w="3989"/>
            <w:vAlign w:val="center"/>
            <w:tcMar>
              <w:top w:w="80" w:type="dxa"/>
              <w:bottom w:w="80" w:type="dxa"/>
              <w:left w:w="120" w:type="dxa"/>
              <w:right w:w="120" w:type="dxa"/>
            </w:tcMar>
            <w:shd w:fill="FFFFFF"/>
          </w:tcPr>
          <w:p>
            <w:pPr>
              <w:spacing w:after="0"/>
            </w:pPr>
            <w:r>
              <w:rPr>
                <w:rFonts w:ascii="Arial" w:hAnsi="Arial"/>
                <w:color w:val="0F172A"/>
                <w:sz w:val="17"/>
              </w:rPr>
              <w:t>Gel nails, spa manicure, pedicure, nail art</w:t>
            </w:r>
          </w:p>
        </w:tc>
        <w:tc>
          <w:tcPr>
            <w:tcW w:type="dxa" w:w="1872"/>
            <w:vAlign w:val="center"/>
            <w:tcMar>
              <w:top w:w="80" w:type="dxa"/>
              <w:bottom w:w="80" w:type="dxa"/>
              <w:left w:w="120" w:type="dxa"/>
              <w:right w:w="120" w:type="dxa"/>
            </w:tcMar>
            <w:shd w:fill="FFFFFF"/>
          </w:tcPr>
          <w:p>
            <w:pPr>
              <w:spacing w:after="0"/>
            </w:pPr>
            <w:r>
              <w:rPr>
                <w:rFonts w:ascii="Arial" w:hAnsi="Arial"/>
                <w:color w:val="0F172A"/>
                <w:sz w:val="17"/>
              </w:rPr>
              <w:t>LKR 2,000 – 5,500</w:t>
            </w:r>
          </w:p>
        </w:tc>
        <w:tc>
          <w:tcPr>
            <w:tcW w:type="dxa" w:w="1296"/>
            <w:vAlign w:val="center"/>
            <w:tcMar>
              <w:top w:w="80" w:type="dxa"/>
              <w:bottom w:w="80" w:type="dxa"/>
              <w:left w:w="120" w:type="dxa"/>
              <w:right w:w="120" w:type="dxa"/>
            </w:tcMar>
            <w:shd w:fill="FFFFFF"/>
          </w:tcPr>
          <w:p>
            <w:pPr>
              <w:spacing w:after="0"/>
            </w:pPr>
            <w:r>
              <w:rPr>
                <w:rFonts w:ascii="Arial" w:hAnsi="Arial"/>
                <w:color w:val="0F172A"/>
                <w:sz w:val="17"/>
              </w:rPr>
              <w:t>70%</w:t>
            </w:r>
          </w:p>
        </w:tc>
      </w:tr>
      <w:tr>
        <w:tc>
          <w:tcPr>
            <w:tcW w:type="dxa" w:w="2592"/>
            <w:vAlign w:val="center"/>
            <w:tcMar>
              <w:top w:w="80" w:type="dxa"/>
              <w:bottom w:w="80" w:type="dxa"/>
              <w:left w:w="120" w:type="dxa"/>
              <w:right w:w="120" w:type="dxa"/>
            </w:tcMar>
            <w:shd w:fill="F8FAFC"/>
          </w:tcPr>
          <w:p>
            <w:pPr>
              <w:spacing w:after="0"/>
            </w:pPr>
            <w:r>
              <w:rPr>
                <w:rFonts w:ascii="Arial" w:hAnsi="Arial"/>
                <w:color w:val="0F172A"/>
                <w:sz w:val="17"/>
              </w:rPr>
              <w:t>Bridal &amp; Dressing Packages</w:t>
            </w:r>
          </w:p>
        </w:tc>
        <w:tc>
          <w:tcPr>
            <w:tcW w:type="dxa" w:w="3989"/>
            <w:vAlign w:val="center"/>
            <w:tcMar>
              <w:top w:w="80" w:type="dxa"/>
              <w:bottom w:w="80" w:type="dxa"/>
              <w:left w:w="120" w:type="dxa"/>
              <w:right w:w="120" w:type="dxa"/>
            </w:tcMar>
            <w:shd w:fill="F8FAFC"/>
          </w:tcPr>
          <w:p>
            <w:pPr>
              <w:spacing w:after="0"/>
            </w:pPr>
            <w:r>
              <w:rPr>
                <w:rFonts w:ascii="Arial" w:hAnsi="Arial"/>
                <w:color w:val="0F172A"/>
                <w:sz w:val="17"/>
              </w:rPr>
              <w:t>Bridal dressing (Kandyan, Western, Indian), pre-bridal care, saree draping</w:t>
            </w:r>
          </w:p>
        </w:tc>
        <w:tc>
          <w:tcPr>
            <w:tcW w:type="dxa" w:w="1872"/>
            <w:vAlign w:val="center"/>
            <w:tcMar>
              <w:top w:w="80" w:type="dxa"/>
              <w:bottom w:w="80" w:type="dxa"/>
              <w:left w:w="120" w:type="dxa"/>
              <w:right w:w="120" w:type="dxa"/>
            </w:tcMar>
            <w:shd w:fill="F8FAFC"/>
          </w:tcPr>
          <w:p>
            <w:pPr>
              <w:spacing w:after="0"/>
            </w:pPr>
            <w:r>
              <w:rPr>
                <w:rFonts w:ascii="Arial" w:hAnsi="Arial"/>
                <w:color w:val="0F172A"/>
                <w:sz w:val="17"/>
              </w:rPr>
              <w:t>LKR 25,000 – 120,000</w:t>
            </w:r>
          </w:p>
        </w:tc>
        <w:tc>
          <w:tcPr>
            <w:tcW w:type="dxa" w:w="1296"/>
            <w:vAlign w:val="center"/>
            <w:tcMar>
              <w:top w:w="80" w:type="dxa"/>
              <w:bottom w:w="80" w:type="dxa"/>
              <w:left w:w="120" w:type="dxa"/>
              <w:right w:w="120" w:type="dxa"/>
            </w:tcMar>
            <w:shd w:fill="F8FAFC"/>
          </w:tcPr>
          <w:p>
            <w:pPr>
              <w:spacing w:after="0"/>
            </w:pPr>
            <w:r>
              <w:rPr>
                <w:rFonts w:ascii="Arial" w:hAnsi="Arial"/>
                <w:color w:val="0F172A"/>
                <w:sz w:val="17"/>
              </w:rPr>
              <w:t>85%</w:t>
            </w:r>
          </w:p>
        </w:tc>
      </w:tr>
    </w:tbl>
    <w:p>
      <w:pPr>
        <w:spacing w:after="80" w:line="276" w:lineRule="auto"/>
      </w:pPr>
      <w:r>
        <w:rPr>
          <w:rFonts w:ascii="Arial" w:hAnsi="Arial"/>
          <w:b/>
          <w:color w:val="0F172A"/>
          <w:sz w:val="19"/>
        </w:rPr>
        <w:t xml:space="preserve">Capacity Benchmarks: </w:t>
      </w:r>
      <w:r>
        <w:rPr>
          <w:rFonts w:ascii="Arial" w:hAnsi="Arial"/>
          <w:color w:val="0F172A"/>
          <w:sz w:val="19"/>
        </w:rPr>
        <w:t>Operating Stations: 3 | Station Utilization Target: 70% – 85% on peak days (Fri – Sun) | Booking Model: 60% pre-booked appointments (WhatsApp/Phone/Social), 40% walk-in availability</w:t>
      </w:r>
    </w:p>
    <w:p>
      <w:r>
        <w:br w:type="page"/>
      </w:r>
    </w:p>
    <w:p>
      <w:pPr>
        <w:keepNext/>
        <w:spacing w:before="280" w:after="100"/>
      </w:pPr>
      <w:r>
        <w:rPr>
          <w:rFonts w:ascii="Arial" w:hAnsi="Arial"/>
          <w:b/>
          <w:color w:val="1E3A8A"/>
          <w:sz w:val="30"/>
        </w:rPr>
        <w:t>02 — AI Feasibility Assessment &amp; SHAP Insights</w:t>
      </w:r>
    </w:p>
    <w:p>
      <w:pPr>
        <w:keepNext/>
        <w:spacing w:before="200" w:after="60"/>
      </w:pPr>
      <w:r>
        <w:rPr>
          <w:rFonts w:ascii="Arial" w:hAnsi="Arial"/>
          <w:b/>
          <w:color w:val="1E3A8A"/>
          <w:sz w:val="22"/>
        </w:rPr>
        <w:t>2.1 Model Classification &amp; Confidence</w:t>
      </w:r>
    </w:p>
    <w:p>
      <w:pPr>
        <w:spacing w:after="80" w:line="276" w:lineRule="auto"/>
      </w:pPr>
      <w:r>
        <w:rPr>
          <w:rFonts w:ascii="Arial" w:hAnsi="Arial"/>
          <w:b/>
          <w:color w:val="0F172A"/>
          <w:sz w:val="19"/>
        </w:rPr>
        <w:t xml:space="preserve">Feasibility Verdict: Conditionally Feasible (63.5%) — </w:t>
      </w:r>
      <w:r>
        <w:rPr>
          <w:rFonts w:ascii="Arial" w:hAnsi="Arial"/>
          <w:color w:val="0F172A"/>
          <w:sz w:val="19"/>
        </w:rPr>
        <w:t>The enterprise is classified as 'Conditionally Feasible' with 63.5% model confidence. The venture demonstrates robust financial liquidity (LKR 1,650,000 capital), but is constrained by moderate initial demand (35/100) and low customer throughput (5/day). Adopting active promotional client acquisition is required to transition to fully 'Feasible'.</w:t>
      </w:r>
    </w:p>
    <w:p>
      <w:pPr>
        <w:keepNext/>
        <w:spacing w:before="200" w:after="60"/>
      </w:pPr>
      <w:r>
        <w:rPr>
          <w:rFonts w:ascii="Arial" w:hAnsi="Arial"/>
          <w:b/>
          <w:color w:val="1E3A8A"/>
          <w:sz w:val="22"/>
        </w:rPr>
        <w:t>2.2 Quantified Feature Attribution (SHAP Chart)</w:t>
      </w:r>
    </w:p>
    <w:p>
      <w:pPr>
        <w:jc w:val="center"/>
      </w:pPr>
      <w:r>
        <w:drawing>
          <wp:inline xmlns:a="http://schemas.openxmlformats.org/drawingml/2006/main" xmlns:pic="http://schemas.openxmlformats.org/drawingml/2006/picture">
            <wp:extent cx="6190488" cy="2407121"/>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190488" cy="2407121"/>
                    </a:xfrm>
                    <a:prstGeom prst="rect"/>
                  </pic:spPr>
                </pic:pic>
              </a:graphicData>
            </a:graphic>
          </wp:inline>
        </w:drawing>
      </w:r>
    </w:p>
    <w:p>
      <w:pPr>
        <w:keepNext/>
        <w:spacing w:before="200" w:after="60"/>
      </w:pPr>
      <w:r>
        <w:rPr>
          <w:rFonts w:ascii="Arial" w:hAnsi="Arial"/>
          <w:b/>
          <w:color w:val="1E3A8A"/>
          <w:sz w:val="22"/>
        </w:rPr>
        <w:t>2.3 Core Enablers &amp; Hurdle Reconciliation (Issue 6)</w:t>
      </w:r>
    </w:p>
    <w:tbl>
      <w:tblPr>
        <w:tblW w:type="auto" w:w="0"/>
        <w:jc w:val="center"/>
        <w:tblLook w:firstColumn="1" w:firstRow="1" w:lastColumn="0" w:lastRow="0" w:noHBand="0" w:noVBand="1" w:val="04A0"/>
      </w:tblPr>
      <w:tblGrid>
        <w:gridCol w:w="2437"/>
        <w:gridCol w:w="2437"/>
        <w:gridCol w:w="2437"/>
        <w:gridCol w:w="2437"/>
      </w:tblGrid>
      <w:tr>
        <w:tc>
          <w:tcPr>
            <w:tcW w:type="dxa" w:w="1584"/>
            <w:vAlign w:val="center"/>
            <w:tcMar>
              <w:top w:w="80" w:type="dxa"/>
              <w:bottom w:w="80" w:type="dxa"/>
              <w:left w:w="120" w:type="dxa"/>
              <w:right w:w="120" w:type="dxa"/>
            </w:tcMar>
            <w:shd w:fill="1E3A8A"/>
          </w:tcPr>
          <w:p>
            <w:pPr>
              <w:spacing w:after="0"/>
            </w:pPr>
            <w:r>
              <w:rPr>
                <w:rFonts w:ascii="Arial" w:hAnsi="Arial"/>
                <w:b/>
                <w:color w:val="FFFFFF"/>
                <w:sz w:val="17"/>
              </w:rPr>
              <w:t>Direction</w:t>
            </w:r>
          </w:p>
        </w:tc>
        <w:tc>
          <w:tcPr>
            <w:tcW w:type="dxa" w:w="2592"/>
            <w:vAlign w:val="center"/>
            <w:tcMar>
              <w:top w:w="80" w:type="dxa"/>
              <w:bottom w:w="80" w:type="dxa"/>
              <w:left w:w="120" w:type="dxa"/>
              <w:right w:w="120" w:type="dxa"/>
            </w:tcMar>
            <w:shd w:fill="1E3A8A"/>
          </w:tcPr>
          <w:p>
            <w:pPr>
              <w:spacing w:after="0"/>
            </w:pPr>
            <w:r>
              <w:rPr>
                <w:rFonts w:ascii="Arial" w:hAnsi="Arial"/>
                <w:b/>
                <w:color w:val="FFFFFF"/>
                <w:sz w:val="17"/>
              </w:rPr>
              <w:t>Parameter</w:t>
            </w:r>
          </w:p>
        </w:tc>
        <w:tc>
          <w:tcPr>
            <w:tcW w:type="dxa" w:w="1584"/>
            <w:vAlign w:val="center"/>
            <w:tcMar>
              <w:top w:w="80" w:type="dxa"/>
              <w:bottom w:w="80" w:type="dxa"/>
              <w:left w:w="120" w:type="dxa"/>
              <w:right w:w="120" w:type="dxa"/>
            </w:tcMar>
            <w:shd w:fill="1E3A8A"/>
          </w:tcPr>
          <w:p>
            <w:pPr>
              <w:spacing w:after="0"/>
            </w:pPr>
            <w:r>
              <w:rPr>
                <w:rFonts w:ascii="Arial" w:hAnsi="Arial"/>
                <w:b/>
                <w:color w:val="FFFFFF"/>
                <w:sz w:val="17"/>
              </w:rPr>
              <w:t>Condition</w:t>
            </w:r>
          </w:p>
        </w:tc>
        <w:tc>
          <w:tcPr>
            <w:tcW w:type="dxa" w:w="3989"/>
            <w:vAlign w:val="center"/>
            <w:tcMar>
              <w:top w:w="80" w:type="dxa"/>
              <w:bottom w:w="80" w:type="dxa"/>
              <w:left w:w="120" w:type="dxa"/>
              <w:right w:w="120" w:type="dxa"/>
            </w:tcMar>
            <w:shd w:fill="1E3A8A"/>
          </w:tcPr>
          <w:p>
            <w:pPr>
              <w:spacing w:after="0"/>
            </w:pPr>
            <w:r>
              <w:rPr>
                <w:rFonts w:ascii="Arial" w:hAnsi="Arial"/>
                <w:b/>
                <w:color w:val="FFFFFF"/>
                <w:sz w:val="17"/>
              </w:rPr>
              <w:t>Attribution Impact</w:t>
            </w:r>
          </w:p>
        </w:tc>
      </w:tr>
      <w:tr>
        <w:tc>
          <w:tcPr>
            <w:tcW w:type="dxa" w:w="1584"/>
            <w:vAlign w:val="center"/>
            <w:tcMar>
              <w:top w:w="80" w:type="dxa"/>
              <w:bottom w:w="80" w:type="dxa"/>
              <w:left w:w="120" w:type="dxa"/>
              <w:right w:w="120" w:type="dxa"/>
            </w:tcMar>
            <w:shd w:fill="FFFFFF"/>
          </w:tcPr>
          <w:p>
            <w:pPr>
              <w:spacing w:after="0"/>
            </w:pPr>
            <w:r>
              <w:rPr>
                <w:rFonts w:ascii="Arial" w:hAnsi="Arial"/>
                <w:color w:val="0F172A"/>
                <w:sz w:val="17"/>
              </w:rPr>
              <w:t>Enabler (+)</w:t>
            </w:r>
          </w:p>
        </w:tc>
        <w:tc>
          <w:tcPr>
            <w:tcW w:type="dxa" w:w="2592"/>
            <w:vAlign w:val="center"/>
            <w:tcMar>
              <w:top w:w="80" w:type="dxa"/>
              <w:bottom w:w="80" w:type="dxa"/>
              <w:left w:w="120" w:type="dxa"/>
              <w:right w:w="120" w:type="dxa"/>
            </w:tcMar>
            <w:shd w:fill="FFFFFF"/>
          </w:tcPr>
          <w:p>
            <w:pPr>
              <w:spacing w:after="0"/>
            </w:pPr>
            <w:r>
              <w:rPr>
                <w:rFonts w:ascii="Arial" w:hAnsi="Arial"/>
                <w:color w:val="0F172A"/>
                <w:sz w:val="17"/>
              </w:rPr>
              <w:t>Expected Product Price</w:t>
            </w:r>
          </w:p>
        </w:tc>
        <w:tc>
          <w:tcPr>
            <w:tcW w:type="dxa" w:w="1584"/>
            <w:vAlign w:val="center"/>
            <w:tcMar>
              <w:top w:w="80" w:type="dxa"/>
              <w:bottom w:w="80" w:type="dxa"/>
              <w:left w:w="120" w:type="dxa"/>
              <w:right w:w="120" w:type="dxa"/>
            </w:tcMar>
            <w:shd w:fill="FFFFFF"/>
          </w:tcPr>
          <w:p>
            <w:pPr>
              <w:spacing w:after="0"/>
            </w:pPr>
            <w:r>
              <w:rPr>
                <w:rFonts w:ascii="Arial" w:hAnsi="Arial"/>
                <w:color w:val="0F172A"/>
                <w:sz w:val="17"/>
              </w:rPr>
              <w:t>LKR 500</w:t>
            </w:r>
          </w:p>
        </w:tc>
        <w:tc>
          <w:tcPr>
            <w:tcW w:type="dxa" w:w="3989"/>
            <w:vAlign w:val="center"/>
            <w:tcMar>
              <w:top w:w="80" w:type="dxa"/>
              <w:bottom w:w="80" w:type="dxa"/>
              <w:left w:w="120" w:type="dxa"/>
              <w:right w:w="120" w:type="dxa"/>
            </w:tcMar>
            <w:shd w:fill="FFFFFF"/>
          </w:tcPr>
          <w:p>
            <w:pPr>
              <w:spacing w:after="0"/>
            </w:pPr>
            <w:r>
              <w:rPr>
                <w:rFonts w:ascii="Arial" w:hAnsi="Arial"/>
                <w:color w:val="0F172A"/>
                <w:sz w:val="17"/>
              </w:rPr>
              <w:t>Favorable recorded condition for Expected Product Price (LKR 500) provides positive support to baseline feasibility.</w:t>
            </w:r>
          </w:p>
        </w:tc>
      </w:tr>
      <w:tr>
        <w:tc>
          <w:tcPr>
            <w:tcW w:type="dxa" w:w="1584"/>
            <w:vAlign w:val="center"/>
            <w:tcMar>
              <w:top w:w="80" w:type="dxa"/>
              <w:bottom w:w="80" w:type="dxa"/>
              <w:left w:w="120" w:type="dxa"/>
              <w:right w:w="120" w:type="dxa"/>
            </w:tcMar>
            <w:shd w:fill="F8FAFC"/>
          </w:tcPr>
          <w:p>
            <w:pPr>
              <w:spacing w:after="0"/>
            </w:pPr>
            <w:r>
              <w:rPr>
                <w:rFonts w:ascii="Arial" w:hAnsi="Arial"/>
                <w:color w:val="0F172A"/>
                <w:sz w:val="17"/>
              </w:rPr>
              <w:t>Enabler (+)</w:t>
            </w:r>
          </w:p>
        </w:tc>
        <w:tc>
          <w:tcPr>
            <w:tcW w:type="dxa" w:w="2592"/>
            <w:vAlign w:val="center"/>
            <w:tcMar>
              <w:top w:w="80" w:type="dxa"/>
              <w:bottom w:w="80" w:type="dxa"/>
              <w:left w:w="120" w:type="dxa"/>
              <w:right w:w="120" w:type="dxa"/>
            </w:tcMar>
            <w:shd w:fill="F8FAFC"/>
          </w:tcPr>
          <w:p>
            <w:pPr>
              <w:spacing w:after="0"/>
            </w:pPr>
            <w:r>
              <w:rPr>
                <w:rFonts w:ascii="Arial" w:hAnsi="Arial"/>
                <w:color w:val="0F172A"/>
                <w:sz w:val="17"/>
              </w:rPr>
              <w:t>Available Capital</w:t>
            </w:r>
          </w:p>
        </w:tc>
        <w:tc>
          <w:tcPr>
            <w:tcW w:type="dxa" w:w="1584"/>
            <w:vAlign w:val="center"/>
            <w:tcMar>
              <w:top w:w="80" w:type="dxa"/>
              <w:bottom w:w="80" w:type="dxa"/>
              <w:left w:w="120" w:type="dxa"/>
              <w:right w:w="120" w:type="dxa"/>
            </w:tcMar>
            <w:shd w:fill="F8FAFC"/>
          </w:tcPr>
          <w:p>
            <w:pPr>
              <w:spacing w:after="0"/>
            </w:pPr>
            <w:r>
              <w:rPr>
                <w:rFonts w:ascii="Arial" w:hAnsi="Arial"/>
                <w:color w:val="0F172A"/>
                <w:sz w:val="17"/>
              </w:rPr>
              <w:t>LKR 1,650,000</w:t>
            </w:r>
          </w:p>
        </w:tc>
        <w:tc>
          <w:tcPr>
            <w:tcW w:type="dxa" w:w="3989"/>
            <w:vAlign w:val="center"/>
            <w:tcMar>
              <w:top w:w="80" w:type="dxa"/>
              <w:bottom w:w="80" w:type="dxa"/>
              <w:left w:w="120" w:type="dxa"/>
              <w:right w:w="120" w:type="dxa"/>
            </w:tcMar>
            <w:shd w:fill="F8FAFC"/>
          </w:tcPr>
          <w:p>
            <w:pPr>
              <w:spacing w:after="0"/>
            </w:pPr>
            <w:r>
              <w:rPr>
                <w:rFonts w:ascii="Arial" w:hAnsi="Arial"/>
                <w:color w:val="0F172A"/>
                <w:sz w:val="17"/>
              </w:rPr>
              <w:t>Favorable recorded condition for Available Capital (LKR 1,650,000) provides positive support to baseline feasibility.</w:t>
            </w:r>
          </w:p>
        </w:tc>
      </w:tr>
      <w:tr>
        <w:tc>
          <w:tcPr>
            <w:tcW w:type="dxa" w:w="1584"/>
            <w:vAlign w:val="center"/>
            <w:tcMar>
              <w:top w:w="80" w:type="dxa"/>
              <w:bottom w:w="80" w:type="dxa"/>
              <w:left w:w="120" w:type="dxa"/>
              <w:right w:w="120" w:type="dxa"/>
            </w:tcMar>
            <w:shd w:fill="FFFFFF"/>
          </w:tcPr>
          <w:p>
            <w:pPr>
              <w:spacing w:after="0"/>
            </w:pPr>
            <w:r>
              <w:rPr>
                <w:rFonts w:ascii="Arial" w:hAnsi="Arial"/>
                <w:color w:val="0F172A"/>
                <w:sz w:val="17"/>
              </w:rPr>
              <w:t>Enabler (+)</w:t>
            </w:r>
          </w:p>
        </w:tc>
        <w:tc>
          <w:tcPr>
            <w:tcW w:type="dxa" w:w="2592"/>
            <w:vAlign w:val="center"/>
            <w:tcMar>
              <w:top w:w="80" w:type="dxa"/>
              <w:bottom w:w="80" w:type="dxa"/>
              <w:left w:w="120" w:type="dxa"/>
              <w:right w:w="120" w:type="dxa"/>
            </w:tcMar>
            <w:shd w:fill="FFFFFF"/>
          </w:tcPr>
          <w:p>
            <w:pPr>
              <w:spacing w:after="0"/>
            </w:pPr>
            <w:r>
              <w:rPr>
                <w:rFonts w:ascii="Arial" w:hAnsi="Arial"/>
                <w:color w:val="0F172A"/>
                <w:sz w:val="17"/>
              </w:rPr>
              <w:t>Requested Loan Amount</w:t>
            </w:r>
          </w:p>
        </w:tc>
        <w:tc>
          <w:tcPr>
            <w:tcW w:type="dxa" w:w="1584"/>
            <w:vAlign w:val="center"/>
            <w:tcMar>
              <w:top w:w="80" w:type="dxa"/>
              <w:bottom w:w="80" w:type="dxa"/>
              <w:left w:w="120" w:type="dxa"/>
              <w:right w:w="120" w:type="dxa"/>
            </w:tcMar>
            <w:shd w:fill="FFFFFF"/>
          </w:tcPr>
          <w:p>
            <w:pPr>
              <w:spacing w:after="0"/>
            </w:pPr>
            <w:r>
              <w:rPr>
                <w:rFonts w:ascii="Arial" w:hAnsi="Arial"/>
                <w:color w:val="0F172A"/>
                <w:sz w:val="17"/>
              </w:rPr>
              <w:t>LKR 0</w:t>
            </w:r>
          </w:p>
        </w:tc>
        <w:tc>
          <w:tcPr>
            <w:tcW w:type="dxa" w:w="3989"/>
            <w:vAlign w:val="center"/>
            <w:tcMar>
              <w:top w:w="80" w:type="dxa"/>
              <w:bottom w:w="80" w:type="dxa"/>
              <w:left w:w="120" w:type="dxa"/>
              <w:right w:w="120" w:type="dxa"/>
            </w:tcMar>
            <w:shd w:fill="FFFFFF"/>
          </w:tcPr>
          <w:p>
            <w:pPr>
              <w:spacing w:after="0"/>
            </w:pPr>
            <w:r>
              <w:rPr>
                <w:rFonts w:ascii="Arial" w:hAnsi="Arial"/>
                <w:color w:val="0F172A"/>
                <w:sz w:val="17"/>
              </w:rPr>
              <w:t>Favorable recorded condition for Requested Loan Amount (LKR 0) provides positive support to baseline feasibility.</w:t>
            </w:r>
          </w:p>
        </w:tc>
      </w:tr>
      <w:tr>
        <w:tc>
          <w:tcPr>
            <w:tcW w:type="dxa" w:w="1584"/>
            <w:vAlign w:val="center"/>
            <w:tcMar>
              <w:top w:w="80" w:type="dxa"/>
              <w:bottom w:w="80" w:type="dxa"/>
              <w:left w:w="120" w:type="dxa"/>
              <w:right w:w="120" w:type="dxa"/>
            </w:tcMar>
            <w:shd w:fill="F8FAFC"/>
          </w:tcPr>
          <w:p>
            <w:pPr>
              <w:spacing w:after="0"/>
            </w:pPr>
            <w:r>
              <w:rPr>
                <w:rFonts w:ascii="Arial" w:hAnsi="Arial"/>
                <w:color w:val="0F172A"/>
                <w:sz w:val="17"/>
              </w:rPr>
              <w:t>Hurdle (-)</w:t>
            </w:r>
          </w:p>
        </w:tc>
        <w:tc>
          <w:tcPr>
            <w:tcW w:type="dxa" w:w="2592"/>
            <w:vAlign w:val="center"/>
            <w:tcMar>
              <w:top w:w="80" w:type="dxa"/>
              <w:bottom w:w="80" w:type="dxa"/>
              <w:left w:w="120" w:type="dxa"/>
              <w:right w:w="120" w:type="dxa"/>
            </w:tcMar>
            <w:shd w:fill="F8FAFC"/>
          </w:tcPr>
          <w:p>
            <w:pPr>
              <w:spacing w:after="0"/>
            </w:pPr>
            <w:r>
              <w:rPr>
                <w:rFonts w:ascii="Arial" w:hAnsi="Arial"/>
                <w:color w:val="0F172A"/>
                <w:sz w:val="17"/>
              </w:rPr>
              <w:t>Customer Demand Score</w:t>
            </w:r>
          </w:p>
        </w:tc>
        <w:tc>
          <w:tcPr>
            <w:tcW w:type="dxa" w:w="1584"/>
            <w:vAlign w:val="center"/>
            <w:tcMar>
              <w:top w:w="80" w:type="dxa"/>
              <w:bottom w:w="80" w:type="dxa"/>
              <w:left w:w="120" w:type="dxa"/>
              <w:right w:w="120" w:type="dxa"/>
            </w:tcMar>
            <w:shd w:fill="F8FAFC"/>
          </w:tcPr>
          <w:p>
            <w:pPr>
              <w:spacing w:after="0"/>
            </w:pPr>
            <w:r>
              <w:rPr>
                <w:rFonts w:ascii="Arial" w:hAnsi="Arial"/>
                <w:color w:val="0F172A"/>
                <w:sz w:val="17"/>
              </w:rPr>
              <w:t>35 / 100</w:t>
            </w:r>
          </w:p>
        </w:tc>
        <w:tc>
          <w:tcPr>
            <w:tcW w:type="dxa" w:w="3989"/>
            <w:vAlign w:val="center"/>
            <w:tcMar>
              <w:top w:w="80" w:type="dxa"/>
              <w:bottom w:w="80" w:type="dxa"/>
              <w:left w:w="120" w:type="dxa"/>
              <w:right w:w="120" w:type="dxa"/>
            </w:tcMar>
            <w:shd w:fill="F8FAFC"/>
          </w:tcPr>
          <w:p>
            <w:pPr>
              <w:spacing w:after="0"/>
            </w:pPr>
            <w:r>
              <w:rPr>
                <w:rFonts w:ascii="Arial" w:hAnsi="Arial"/>
                <w:color w:val="0F172A"/>
                <w:sz w:val="17"/>
              </w:rPr>
              <w:t>Constraint in Customer Demand Score (35 / 100) exerts downward pressure on model feasibility, identifying a key operational hurdle.</w:t>
            </w:r>
          </w:p>
        </w:tc>
      </w:tr>
      <w:tr>
        <w:tc>
          <w:tcPr>
            <w:tcW w:type="dxa" w:w="1584"/>
            <w:vAlign w:val="center"/>
            <w:tcMar>
              <w:top w:w="80" w:type="dxa"/>
              <w:bottom w:w="80" w:type="dxa"/>
              <w:left w:w="120" w:type="dxa"/>
              <w:right w:w="120" w:type="dxa"/>
            </w:tcMar>
            <w:shd w:fill="FFFFFF"/>
          </w:tcPr>
          <w:p>
            <w:pPr>
              <w:spacing w:after="0"/>
            </w:pPr>
            <w:r>
              <w:rPr>
                <w:rFonts w:ascii="Arial" w:hAnsi="Arial"/>
                <w:color w:val="0F172A"/>
                <w:sz w:val="17"/>
              </w:rPr>
              <w:t>Hurdle (-)</w:t>
            </w:r>
          </w:p>
        </w:tc>
        <w:tc>
          <w:tcPr>
            <w:tcW w:type="dxa" w:w="2592"/>
            <w:vAlign w:val="center"/>
            <w:tcMar>
              <w:top w:w="80" w:type="dxa"/>
              <w:bottom w:w="80" w:type="dxa"/>
              <w:left w:w="120" w:type="dxa"/>
              <w:right w:w="120" w:type="dxa"/>
            </w:tcMar>
            <w:shd w:fill="FFFFFF"/>
          </w:tcPr>
          <w:p>
            <w:pPr>
              <w:spacing w:after="0"/>
            </w:pPr>
            <w:r>
              <w:rPr>
                <w:rFonts w:ascii="Arial" w:hAnsi="Arial"/>
                <w:color w:val="0F172A"/>
                <w:sz w:val="17"/>
              </w:rPr>
              <w:t>Available Equipment Score</w:t>
            </w:r>
          </w:p>
        </w:tc>
        <w:tc>
          <w:tcPr>
            <w:tcW w:type="dxa" w:w="1584"/>
            <w:vAlign w:val="center"/>
            <w:tcMar>
              <w:top w:w="80" w:type="dxa"/>
              <w:bottom w:w="80" w:type="dxa"/>
              <w:left w:w="120" w:type="dxa"/>
              <w:right w:w="120" w:type="dxa"/>
            </w:tcMar>
            <w:shd w:fill="FFFFFF"/>
          </w:tcPr>
          <w:p>
            <w:pPr>
              <w:spacing w:after="0"/>
            </w:pPr>
            <w:r>
              <w:rPr>
                <w:rFonts w:ascii="Arial" w:hAnsi="Arial"/>
                <w:color w:val="0F172A"/>
                <w:sz w:val="17"/>
              </w:rPr>
              <w:t>3 / 5</w:t>
            </w:r>
          </w:p>
        </w:tc>
        <w:tc>
          <w:tcPr>
            <w:tcW w:type="dxa" w:w="3989"/>
            <w:vAlign w:val="center"/>
            <w:tcMar>
              <w:top w:w="80" w:type="dxa"/>
              <w:bottom w:w="80" w:type="dxa"/>
              <w:left w:w="120" w:type="dxa"/>
              <w:right w:w="120" w:type="dxa"/>
            </w:tcMar>
            <w:shd w:fill="FFFFFF"/>
          </w:tcPr>
          <w:p>
            <w:pPr>
              <w:spacing w:after="0"/>
            </w:pPr>
            <w:r>
              <w:rPr>
                <w:rFonts w:ascii="Arial" w:hAnsi="Arial"/>
                <w:color w:val="0F172A"/>
                <w:sz w:val="17"/>
              </w:rPr>
              <w:t>Constraint in Available Equipment Score (3 / 5) exerts downward pressure on model feasibility, identifying a key operational hurdle.</w:t>
            </w:r>
          </w:p>
        </w:tc>
      </w:tr>
      <w:tr>
        <w:tc>
          <w:tcPr>
            <w:tcW w:type="dxa" w:w="1584"/>
            <w:vAlign w:val="center"/>
            <w:tcMar>
              <w:top w:w="80" w:type="dxa"/>
              <w:bottom w:w="80" w:type="dxa"/>
              <w:left w:w="120" w:type="dxa"/>
              <w:right w:w="120" w:type="dxa"/>
            </w:tcMar>
            <w:shd w:fill="F8FAFC"/>
          </w:tcPr>
          <w:p>
            <w:pPr>
              <w:spacing w:after="0"/>
            </w:pPr>
            <w:r>
              <w:rPr>
                <w:rFonts w:ascii="Arial" w:hAnsi="Arial"/>
                <w:color w:val="0F172A"/>
                <w:sz w:val="17"/>
              </w:rPr>
              <w:t>Hurdle (-)</w:t>
            </w:r>
          </w:p>
        </w:tc>
        <w:tc>
          <w:tcPr>
            <w:tcW w:type="dxa" w:w="2592"/>
            <w:vAlign w:val="center"/>
            <w:tcMar>
              <w:top w:w="80" w:type="dxa"/>
              <w:bottom w:w="80" w:type="dxa"/>
              <w:left w:w="120" w:type="dxa"/>
              <w:right w:w="120" w:type="dxa"/>
            </w:tcMar>
            <w:shd w:fill="F8FAFC"/>
          </w:tcPr>
          <w:p>
            <w:pPr>
              <w:spacing w:after="0"/>
            </w:pPr>
            <w:r>
              <w:rPr>
                <w:rFonts w:ascii="Arial" w:hAnsi="Arial"/>
                <w:color w:val="0F172A"/>
                <w:sz w:val="17"/>
              </w:rPr>
              <w:t>Available Staff Count</w:t>
            </w:r>
          </w:p>
        </w:tc>
        <w:tc>
          <w:tcPr>
            <w:tcW w:type="dxa" w:w="1584"/>
            <w:vAlign w:val="center"/>
            <w:tcMar>
              <w:top w:w="80" w:type="dxa"/>
              <w:bottom w:w="80" w:type="dxa"/>
              <w:left w:w="120" w:type="dxa"/>
              <w:right w:w="120" w:type="dxa"/>
            </w:tcMar>
            <w:shd w:fill="F8FAFC"/>
          </w:tcPr>
          <w:p>
            <w:pPr>
              <w:spacing w:after="0"/>
            </w:pPr>
            <w:r>
              <w:rPr>
                <w:rFonts w:ascii="Arial" w:hAnsi="Arial"/>
                <w:color w:val="0F172A"/>
                <w:sz w:val="17"/>
              </w:rPr>
              <w:t>2 Staff</w:t>
            </w:r>
          </w:p>
        </w:tc>
        <w:tc>
          <w:tcPr>
            <w:tcW w:type="dxa" w:w="3989"/>
            <w:vAlign w:val="center"/>
            <w:tcMar>
              <w:top w:w="80" w:type="dxa"/>
              <w:bottom w:w="80" w:type="dxa"/>
              <w:left w:w="120" w:type="dxa"/>
              <w:right w:w="120" w:type="dxa"/>
            </w:tcMar>
            <w:shd w:fill="F8FAFC"/>
          </w:tcPr>
          <w:p>
            <w:pPr>
              <w:spacing w:after="0"/>
            </w:pPr>
            <w:r>
              <w:rPr>
                <w:rFonts w:ascii="Arial" w:hAnsi="Arial"/>
                <w:color w:val="0F172A"/>
                <w:sz w:val="17"/>
              </w:rPr>
              <w:t>Constraint in Available Staff Count (2 Staff) exerts downward pressure on model feasibility, identifying a key operational hurdle.</w:t>
            </w:r>
          </w:p>
        </w:tc>
      </w:tr>
    </w:tbl>
    <w:p>
      <w:r>
        <w:br w:type="page"/>
      </w:r>
    </w:p>
    <w:p>
      <w:pPr>
        <w:keepNext/>
        <w:spacing w:before="280" w:after="100"/>
      </w:pPr>
      <w:r>
        <w:rPr>
          <w:rFonts w:ascii="Arial" w:hAnsi="Arial"/>
          <w:b/>
          <w:color w:val="1E3A8A"/>
          <w:sz w:val="30"/>
        </w:rPr>
        <w:t>03 — Strategic Recommendations &amp; TOPSIS Prioritization</w:t>
      </w:r>
    </w:p>
    <w:p>
      <w:pPr>
        <w:keepNext/>
        <w:spacing w:before="200" w:after="60"/>
      </w:pPr>
      <w:r>
        <w:rPr>
          <w:rFonts w:ascii="Arial" w:hAnsi="Arial"/>
          <w:b/>
          <w:color w:val="1E3A8A"/>
          <w:sz w:val="22"/>
        </w:rPr>
        <w:t>3.1 Evaluated Strategic Alternatives (Real Rank Order)</w:t>
      </w:r>
    </w:p>
    <w:p>
      <w:pPr>
        <w:spacing w:after="80" w:line="276" w:lineRule="auto"/>
      </w:pPr>
      <w:r>
        <w:rPr>
          <w:rFonts w:ascii="Arial" w:hAnsi="Arial"/>
          <w:b/>
          <w:color w:val="0F172A"/>
          <w:sz w:val="19"/>
        </w:rPr>
        <w:t xml:space="preserve">Strategy #1: Hybrid Digital Booking &amp; Home-Visit Model — </w:t>
      </w:r>
      <w:r>
        <w:rPr>
          <w:rFonts w:ascii="Arial" w:hAnsi="Arial"/>
          <w:color w:val="0F172A"/>
          <w:sz w:val="19"/>
        </w:rPr>
        <w:t>Target Capital: LKR 1,237,500  |  Monthly Budget: LKR 45,000  |  Daily Clients: 5  |  TOPSIS Closeness: 0.767</w:t>
      </w:r>
    </w:p>
    <w:p>
      <w:pPr>
        <w:spacing w:after="80" w:line="276" w:lineRule="auto"/>
      </w:pPr>
      <w:r>
        <w:rPr>
          <w:rFonts w:ascii="Arial" w:hAnsi="Arial"/>
          <w:b/>
          <w:color w:val="0F172A"/>
          <w:sz w:val="19"/>
        </w:rPr>
        <w:t xml:space="preserve">Strategy #2: Lean Bootstrapped Studio (ASDF SALOON) — </w:t>
      </w:r>
      <w:r>
        <w:rPr>
          <w:rFonts w:ascii="Arial" w:hAnsi="Arial"/>
          <w:color w:val="0F172A"/>
          <w:sz w:val="19"/>
        </w:rPr>
        <w:t>Target Capital: LKR 990,000  |  Monthly Budget: LKR 35,000  |  Daily Clients: 4  |  TOPSIS Closeness: 0.7081</w:t>
      </w:r>
    </w:p>
    <w:p>
      <w:pPr>
        <w:spacing w:after="80" w:line="276" w:lineRule="auto"/>
      </w:pPr>
      <w:r>
        <w:rPr>
          <w:rFonts w:ascii="Arial" w:hAnsi="Arial"/>
          <w:b/>
          <w:color w:val="0F172A"/>
          <w:sz w:val="19"/>
        </w:rPr>
        <w:t xml:space="preserve">Strategy #3: Premium VIP Aesthetics &amp; Bridal Studio — </w:t>
      </w:r>
      <w:r>
        <w:rPr>
          <w:rFonts w:ascii="Arial" w:hAnsi="Arial"/>
          <w:color w:val="0F172A"/>
          <w:sz w:val="19"/>
        </w:rPr>
        <w:t>Target Capital: LKR 1,485,000  |  Monthly Budget: LKR 48,000  |  Daily Clients: 3  |  TOPSIS Closeness: 0.3985</w:t>
      </w:r>
    </w:p>
    <w:p>
      <w:pPr>
        <w:spacing w:after="80" w:line="276" w:lineRule="auto"/>
      </w:pPr>
      <w:r>
        <w:rPr>
          <w:rFonts w:ascii="Arial" w:hAnsi="Arial"/>
          <w:b/>
          <w:color w:val="0F172A"/>
          <w:sz w:val="19"/>
        </w:rPr>
        <w:t xml:space="preserve">Strategy #4: High-Volume Community Salon (ASDF SALOON) — </w:t>
      </w:r>
      <w:r>
        <w:rPr>
          <w:rFonts w:ascii="Arial" w:hAnsi="Arial"/>
          <w:color w:val="0F172A"/>
          <w:sz w:val="19"/>
        </w:rPr>
        <w:t>Target Capital: LKR 1,650,000  |  Monthly Budget: LKR 55,000  |  Daily Clients: 6  |  TOPSIS Closeness: 0.1494</w:t>
      </w:r>
    </w:p>
    <w:p>
      <w:pPr>
        <w:keepNext/>
        <w:spacing w:before="200" w:after="60"/>
      </w:pPr>
      <w:r>
        <w:rPr>
          <w:rFonts w:ascii="Arial" w:hAnsi="Arial"/>
          <w:b/>
          <w:color w:val="1E3A8A"/>
          <w:sz w:val="22"/>
        </w:rPr>
        <w:t>3.2 TOPSIS Prioritization Chart</w:t>
      </w:r>
    </w:p>
    <w:p>
      <w:pPr>
        <w:jc w:val="center"/>
      </w:pPr>
      <w:r>
        <w:drawing>
          <wp:inline xmlns:a="http://schemas.openxmlformats.org/drawingml/2006/main" xmlns:pic="http://schemas.openxmlformats.org/drawingml/2006/picture">
            <wp:extent cx="6190488" cy="2203394"/>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190488" cy="2203394"/>
                    </a:xfrm>
                    <a:prstGeom prst="rect"/>
                  </pic:spPr>
                </pic:pic>
              </a:graphicData>
            </a:graphic>
          </wp:inline>
        </w:drawing>
      </w:r>
    </w:p>
    <w:p>
      <w:r>
        <w:br w:type="page"/>
      </w:r>
    </w:p>
    <w:p>
      <w:pPr>
        <w:keepNext/>
        <w:spacing w:before="280" w:after="100"/>
      </w:pPr>
      <w:r>
        <w:rPr>
          <w:rFonts w:ascii="Arial" w:hAnsi="Arial"/>
          <w:b/>
          <w:color w:val="1E3A8A"/>
          <w:sz w:val="30"/>
        </w:rPr>
        <w:t>04 — Financial Plan &amp; Operational Architecture</w:t>
      </w:r>
    </w:p>
    <w:p>
      <w:pPr>
        <w:keepNext/>
        <w:spacing w:before="200" w:after="60"/>
      </w:pPr>
      <w:r>
        <w:rPr>
          <w:rFonts w:ascii="Arial" w:hAnsi="Arial"/>
          <w:b/>
          <w:color w:val="1E3A8A"/>
          <w:sz w:val="22"/>
        </w:rPr>
        <w:t>4.1 Startup Capital Allocation &amp; Cost Breakdown (Issue 7)</w:t>
      </w:r>
    </w:p>
    <w:p>
      <w:pPr>
        <w:spacing w:after="80" w:line="276" w:lineRule="auto"/>
      </w:pPr>
      <w:r>
        <w:rPr>
          <w:rFonts w:ascii="Arial" w:hAnsi="Arial"/>
          <w:b/>
          <w:color w:val="0F172A"/>
          <w:sz w:val="19"/>
        </w:rPr>
        <w:t xml:space="preserve">Capital Summary: </w:t>
      </w:r>
      <w:r>
        <w:rPr>
          <w:rFonts w:ascii="Arial" w:hAnsi="Arial"/>
          <w:color w:val="0F172A"/>
          <w:sz w:val="19"/>
        </w:rPr>
        <w:t>Available Equity: LKR 1,650,000  |  Strategy Target Capital: LKR 1,237,500  |  Unallocated Reserve: LKR 412,500 (25.0%)</w:t>
      </w:r>
    </w:p>
    <w:p>
      <w:pPr>
        <w:keepNext/>
        <w:spacing w:before="200" w:after="60"/>
      </w:pPr>
      <w:r>
        <w:rPr>
          <w:rFonts w:ascii="Arial" w:hAnsi="Arial"/>
          <w:b/>
          <w:color w:val="1E3A8A"/>
          <w:sz w:val="22"/>
        </w:rPr>
        <w:t>4.2 Monthly Fixed Costs &amp; Sanity Advisories (Issue 8, 14)</w:t>
      </w:r>
    </w:p>
    <w:p>
      <w:pPr>
        <w:spacing w:after="80" w:line="276" w:lineRule="auto"/>
      </w:pPr>
      <w:r>
        <w:rPr>
          <w:rFonts w:ascii="Arial" w:hAnsi="Arial"/>
          <w:color w:val="0F172A"/>
          <w:sz w:val="19"/>
        </w:rPr>
        <w:t>Modeled Monthly Fixed Cost: LKR 70,000 (Rent: LKR 25,000 | 2 Staff Allowances: LKR 40,000 | Utilities: LKR 10,000)  |  Break-Even Footfall: 6.3 Clients / Day  |  Liquidity Runway Buffer: ≥ 28.0 Months</w:t>
      </w:r>
    </w:p>
    <w:p>
      <w:pPr>
        <w:pStyle w:val="ListBullet"/>
        <w:spacing w:after="60" w:line="269" w:lineRule="auto"/>
      </w:pPr>
      <w:r>
        <w:rPr>
          <w:rFonts w:ascii="Arial" w:hAnsi="Arial"/>
          <w:b/>
          <w:color w:val="0F172A"/>
          <w:sz w:val="19"/>
        </w:rPr>
        <w:t xml:space="preserve">Advisory Note: </w:t>
      </w:r>
      <w:r>
        <w:rPr>
          <w:rFonts w:ascii="Arial" w:hAnsi="Arial"/>
          <w:color w:val="0F172A"/>
          <w:sz w:val="19"/>
        </w:rPr>
        <w:t>Stated Monthly Budget of LKR 15,300 is insufficient to cover commercial rent, utilities, and wages for 2 staff in Gampaha. The financial plan incorporates a realistic baseline cost of LKR 70,000/month.</w:t>
      </w:r>
    </w:p>
    <w:p>
      <w:pPr>
        <w:pStyle w:val="ListBullet"/>
        <w:spacing w:after="60" w:line="269" w:lineRule="auto"/>
      </w:pPr>
      <w:r>
        <w:rPr>
          <w:rFonts w:ascii="Arial" w:hAnsi="Arial"/>
          <w:b/>
          <w:color w:val="0F172A"/>
          <w:sz w:val="19"/>
        </w:rPr>
        <w:t xml:space="preserve">Advisory Note: </w:t>
      </w:r>
      <w:r>
        <w:rPr>
          <w:rFonts w:ascii="Arial" w:hAnsi="Arial"/>
          <w:color w:val="0F172A"/>
          <w:sz w:val="19"/>
        </w:rPr>
        <w:t>Initial customer volume (5 clients/day) is below the operational break-even threshold (6.3 clients/day). The business operates at an initial monthly deficit of LKR 14,750 until footfall ramps in Month 4. The LKR 412,500 safety reserve safely cushions this ramp-up period.</w:t>
      </w:r>
    </w:p>
    <w:p>
      <w:pPr>
        <w:pStyle w:val="ListBullet"/>
        <w:spacing w:after="60" w:line="269" w:lineRule="auto"/>
      </w:pPr>
      <w:r>
        <w:rPr>
          <w:rFonts w:ascii="Arial" w:hAnsi="Arial"/>
          <w:b/>
          <w:color w:val="0F172A"/>
          <w:sz w:val="19"/>
        </w:rPr>
        <w:t xml:space="preserve">Advisory Note: </w:t>
      </w:r>
      <w:r>
        <w:rPr>
          <w:rFonts w:ascii="Arial" w:hAnsi="Arial"/>
          <w:color w:val="0F172A"/>
          <w:sz w:val="19"/>
        </w:rPr>
        <w:t>Payback horizon (1368.7 months) exceeds the standard 24-month SME benchmark due to conservative LKR 500 average unit pricing. Introducing higher-margin bridal and aesthetic service tiers is strongly advised.</w:t>
      </w:r>
    </w:p>
    <w:p>
      <w:pPr>
        <w:keepNext/>
        <w:spacing w:before="200" w:after="60"/>
      </w:pPr>
      <w:r>
        <w:rPr>
          <w:rFonts w:ascii="Arial" w:hAnsi="Arial"/>
          <w:b/>
          <w:color w:val="1E3A8A"/>
          <w:sz w:val="22"/>
        </w:rPr>
        <w:t>4.3 12-Month Revenue vs. Cost Trajectory Chart</w:t>
      </w:r>
    </w:p>
    <w:p>
      <w:pPr>
        <w:jc w:val="center"/>
      </w:pPr>
      <w:r>
        <w:drawing>
          <wp:inline xmlns:a="http://schemas.openxmlformats.org/drawingml/2006/main" xmlns:pic="http://schemas.openxmlformats.org/drawingml/2006/picture">
            <wp:extent cx="6190488" cy="2518165"/>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6190488" cy="2518165"/>
                    </a:xfrm>
                    <a:prstGeom prst="rect"/>
                  </pic:spPr>
                </pic:pic>
              </a:graphicData>
            </a:graphic>
          </wp:inline>
        </w:drawing>
      </w:r>
    </w:p>
    <w:p>
      <w:pPr>
        <w:keepNext/>
        <w:spacing w:before="140" w:after="40"/>
      </w:pPr>
      <w:r>
        <w:rPr>
          <w:rFonts w:ascii="Arial" w:hAnsi="Arial"/>
          <w:b/>
          <w:color w:val="0F172A"/>
          <w:sz w:val="20"/>
        </w:rPr>
        <w:t>12-Month Projections Table (Sample Periods)</w:t>
      </w:r>
    </w:p>
    <w:tbl>
      <w:tblPr>
        <w:tblW w:type="auto" w:w="0"/>
        <w:jc w:val="center"/>
        <w:tblLook w:firstColumn="1" w:firstRow="1" w:lastColumn="0" w:lastRow="0" w:noHBand="0" w:noVBand="1" w:val="04A0"/>
      </w:tblPr>
      <w:tblGrid>
        <w:gridCol w:w="1625"/>
        <w:gridCol w:w="1625"/>
        <w:gridCol w:w="1625"/>
        <w:gridCol w:w="1625"/>
        <w:gridCol w:w="1625"/>
        <w:gridCol w:w="1625"/>
      </w:tblGrid>
      <w:tr>
        <w:tc>
          <w:tcPr>
            <w:tcW w:type="dxa" w:w="1440"/>
            <w:vAlign w:val="center"/>
            <w:tcMar>
              <w:top w:w="80" w:type="dxa"/>
              <w:bottom w:w="80" w:type="dxa"/>
              <w:left w:w="120" w:type="dxa"/>
              <w:right w:w="120" w:type="dxa"/>
            </w:tcMar>
            <w:shd w:fill="1E3A8A"/>
          </w:tcPr>
          <w:p>
            <w:pPr>
              <w:spacing w:after="0"/>
            </w:pPr>
            <w:r>
              <w:rPr>
                <w:rFonts w:ascii="Arial" w:hAnsi="Arial"/>
                <w:b/>
                <w:color w:val="FFFFFF"/>
                <w:sz w:val="17"/>
              </w:rPr>
              <w:t>Month</w:t>
            </w:r>
          </w:p>
        </w:tc>
        <w:tc>
          <w:tcPr>
            <w:tcW w:type="dxa" w:w="1440"/>
            <w:vAlign w:val="center"/>
            <w:tcMar>
              <w:top w:w="80" w:type="dxa"/>
              <w:bottom w:w="80" w:type="dxa"/>
              <w:left w:w="120" w:type="dxa"/>
              <w:right w:w="120" w:type="dxa"/>
            </w:tcMar>
            <w:shd w:fill="1E3A8A"/>
          </w:tcPr>
          <w:p>
            <w:pPr>
              <w:spacing w:after="0"/>
            </w:pPr>
            <w:r>
              <w:rPr>
                <w:rFonts w:ascii="Arial" w:hAnsi="Arial"/>
                <w:b/>
                <w:color w:val="FFFFFF"/>
                <w:sz w:val="17"/>
              </w:rPr>
              <w:t>Clients/Day</w:t>
            </w:r>
          </w:p>
        </w:tc>
        <w:tc>
          <w:tcPr>
            <w:tcW w:type="dxa" w:w="1728"/>
            <w:vAlign w:val="center"/>
            <w:tcMar>
              <w:top w:w="80" w:type="dxa"/>
              <w:bottom w:w="80" w:type="dxa"/>
              <w:left w:w="120" w:type="dxa"/>
              <w:right w:w="120" w:type="dxa"/>
            </w:tcMar>
            <w:shd w:fill="1E3A8A"/>
          </w:tcPr>
          <w:p>
            <w:pPr>
              <w:spacing w:after="0"/>
            </w:pPr>
            <w:r>
              <w:rPr>
                <w:rFonts w:ascii="Arial" w:hAnsi="Arial"/>
                <w:b/>
                <w:color w:val="FFFFFF"/>
                <w:sz w:val="17"/>
              </w:rPr>
              <w:t>Gross Revenue</w:t>
            </w:r>
          </w:p>
        </w:tc>
        <w:tc>
          <w:tcPr>
            <w:tcW w:type="dxa" w:w="1728"/>
            <w:vAlign w:val="center"/>
            <w:tcMar>
              <w:top w:w="80" w:type="dxa"/>
              <w:bottom w:w="80" w:type="dxa"/>
              <w:left w:w="120" w:type="dxa"/>
              <w:right w:w="120" w:type="dxa"/>
            </w:tcMar>
            <w:shd w:fill="1E3A8A"/>
          </w:tcPr>
          <w:p>
            <w:pPr>
              <w:spacing w:after="0"/>
            </w:pPr>
            <w:r>
              <w:rPr>
                <w:rFonts w:ascii="Arial" w:hAnsi="Arial"/>
                <w:b/>
                <w:color w:val="FFFFFF"/>
                <w:sz w:val="17"/>
              </w:rPr>
              <w:t>Total Expenses</w:t>
            </w:r>
          </w:p>
        </w:tc>
        <w:tc>
          <w:tcPr>
            <w:tcW w:type="dxa" w:w="1685"/>
            <w:vAlign w:val="center"/>
            <w:tcMar>
              <w:top w:w="80" w:type="dxa"/>
              <w:bottom w:w="80" w:type="dxa"/>
              <w:left w:w="120" w:type="dxa"/>
              <w:right w:w="120" w:type="dxa"/>
            </w:tcMar>
            <w:shd w:fill="1E3A8A"/>
          </w:tcPr>
          <w:p>
            <w:pPr>
              <w:spacing w:after="0"/>
            </w:pPr>
            <w:r>
              <w:rPr>
                <w:rFonts w:ascii="Arial" w:hAnsi="Arial"/>
                <w:b/>
                <w:color w:val="FFFFFF"/>
                <w:sz w:val="17"/>
              </w:rPr>
              <w:t>Net Profit</w:t>
            </w:r>
          </w:p>
        </w:tc>
        <w:tc>
          <w:tcPr>
            <w:tcW w:type="dxa" w:w="1728"/>
            <w:vAlign w:val="center"/>
            <w:tcMar>
              <w:top w:w="80" w:type="dxa"/>
              <w:bottom w:w="80" w:type="dxa"/>
              <w:left w:w="120" w:type="dxa"/>
              <w:right w:w="120" w:type="dxa"/>
            </w:tcMar>
            <w:shd w:fill="1E3A8A"/>
          </w:tcPr>
          <w:p>
            <w:pPr>
              <w:spacing w:after="0"/>
            </w:pPr>
            <w:r>
              <w:rPr>
                <w:rFonts w:ascii="Arial" w:hAnsi="Arial"/>
                <w:b/>
                <w:color w:val="FFFFFF"/>
                <w:sz w:val="17"/>
              </w:rPr>
              <w:t>Cumulative Cash</w:t>
            </w:r>
          </w:p>
        </w:tc>
      </w:tr>
      <w:tr>
        <w:tc>
          <w:tcPr>
            <w:tcW w:type="dxa" w:w="1440"/>
            <w:vAlign w:val="center"/>
            <w:tcMar>
              <w:top w:w="80" w:type="dxa"/>
              <w:bottom w:w="80" w:type="dxa"/>
              <w:left w:w="120" w:type="dxa"/>
              <w:right w:w="120" w:type="dxa"/>
            </w:tcMar>
            <w:shd w:fill="FFFFFF"/>
          </w:tcPr>
          <w:p>
            <w:pPr>
              <w:spacing w:after="0"/>
            </w:pPr>
            <w:r>
              <w:rPr>
                <w:rFonts w:ascii="Arial" w:hAnsi="Arial"/>
                <w:color w:val="0F172A"/>
                <w:sz w:val="17"/>
              </w:rPr>
              <w:t>Month 01</w:t>
            </w:r>
          </w:p>
        </w:tc>
        <w:tc>
          <w:tcPr>
            <w:tcW w:type="dxa" w:w="1440"/>
            <w:vAlign w:val="center"/>
            <w:tcMar>
              <w:top w:w="80" w:type="dxa"/>
              <w:bottom w:w="80" w:type="dxa"/>
              <w:left w:w="120" w:type="dxa"/>
              <w:right w:w="120" w:type="dxa"/>
            </w:tcMar>
            <w:shd w:fill="FFFFFF"/>
          </w:tcPr>
          <w:p>
            <w:pPr>
              <w:spacing w:after="0"/>
            </w:pPr>
            <w:r>
              <w:rPr>
                <w:rFonts w:ascii="Arial" w:hAnsi="Arial"/>
                <w:color w:val="0F172A"/>
                <w:sz w:val="17"/>
              </w:rPr>
              <w:t>5</w:t>
            </w:r>
          </w:p>
        </w:tc>
        <w:tc>
          <w:tcPr>
            <w:tcW w:type="dxa" w:w="1728"/>
            <w:vAlign w:val="center"/>
            <w:tcMar>
              <w:top w:w="80" w:type="dxa"/>
              <w:bottom w:w="80" w:type="dxa"/>
              <w:left w:w="120" w:type="dxa"/>
              <w:right w:w="120" w:type="dxa"/>
            </w:tcMar>
            <w:shd w:fill="FFFFFF"/>
          </w:tcPr>
          <w:p>
            <w:pPr>
              <w:spacing w:after="0"/>
            </w:pPr>
            <w:r>
              <w:rPr>
                <w:rFonts w:ascii="Arial" w:hAnsi="Arial"/>
                <w:color w:val="0F172A"/>
                <w:sz w:val="17"/>
              </w:rPr>
              <w:t>LKR 65,000</w:t>
            </w:r>
          </w:p>
        </w:tc>
        <w:tc>
          <w:tcPr>
            <w:tcW w:type="dxa" w:w="1728"/>
            <w:vAlign w:val="center"/>
            <w:tcMar>
              <w:top w:w="80" w:type="dxa"/>
              <w:bottom w:w="80" w:type="dxa"/>
              <w:left w:w="120" w:type="dxa"/>
              <w:right w:w="120" w:type="dxa"/>
            </w:tcMar>
            <w:shd w:fill="FFFFFF"/>
          </w:tcPr>
          <w:p>
            <w:pPr>
              <w:spacing w:after="0"/>
            </w:pPr>
            <w:r>
              <w:rPr>
                <w:rFonts w:ascii="Arial" w:hAnsi="Arial"/>
                <w:color w:val="0F172A"/>
                <w:sz w:val="17"/>
              </w:rPr>
              <w:t>LKR 79,750</w:t>
            </w:r>
          </w:p>
        </w:tc>
        <w:tc>
          <w:tcPr>
            <w:tcW w:type="dxa" w:w="1685"/>
            <w:vAlign w:val="center"/>
            <w:tcMar>
              <w:top w:w="80" w:type="dxa"/>
              <w:bottom w:w="80" w:type="dxa"/>
              <w:left w:w="120" w:type="dxa"/>
              <w:right w:w="120" w:type="dxa"/>
            </w:tcMar>
            <w:shd w:fill="FFFFFF"/>
          </w:tcPr>
          <w:p>
            <w:pPr>
              <w:spacing w:after="0"/>
            </w:pPr>
            <w:r>
              <w:rPr>
                <w:rFonts w:ascii="Arial" w:hAnsi="Arial"/>
                <w:color w:val="0F172A"/>
                <w:sz w:val="17"/>
              </w:rPr>
              <w:t>LKR -14,750</w:t>
            </w:r>
          </w:p>
        </w:tc>
        <w:tc>
          <w:tcPr>
            <w:tcW w:type="dxa" w:w="1728"/>
            <w:vAlign w:val="center"/>
            <w:tcMar>
              <w:top w:w="80" w:type="dxa"/>
              <w:bottom w:w="80" w:type="dxa"/>
              <w:left w:w="120" w:type="dxa"/>
              <w:right w:w="120" w:type="dxa"/>
            </w:tcMar>
            <w:shd w:fill="FFFFFF"/>
          </w:tcPr>
          <w:p>
            <w:pPr>
              <w:spacing w:after="0"/>
            </w:pPr>
            <w:r>
              <w:rPr>
                <w:rFonts w:ascii="Arial" w:hAnsi="Arial"/>
                <w:color w:val="0F172A"/>
                <w:sz w:val="17"/>
              </w:rPr>
              <w:t>LKR 397,750</w:t>
            </w:r>
          </w:p>
        </w:tc>
      </w:tr>
      <w:tr>
        <w:tc>
          <w:tcPr>
            <w:tcW w:type="dxa" w:w="1440"/>
            <w:vAlign w:val="center"/>
            <w:tcMar>
              <w:top w:w="80" w:type="dxa"/>
              <w:bottom w:w="80" w:type="dxa"/>
              <w:left w:w="120" w:type="dxa"/>
              <w:right w:w="120" w:type="dxa"/>
            </w:tcMar>
            <w:shd w:fill="F8FAFC"/>
          </w:tcPr>
          <w:p>
            <w:pPr>
              <w:spacing w:after="0"/>
            </w:pPr>
            <w:r>
              <w:rPr>
                <w:rFonts w:ascii="Arial" w:hAnsi="Arial"/>
                <w:color w:val="0F172A"/>
                <w:sz w:val="17"/>
              </w:rPr>
              <w:t>Month 02</w:t>
            </w:r>
          </w:p>
        </w:tc>
        <w:tc>
          <w:tcPr>
            <w:tcW w:type="dxa" w:w="1440"/>
            <w:vAlign w:val="center"/>
            <w:tcMar>
              <w:top w:w="80" w:type="dxa"/>
              <w:bottom w:w="80" w:type="dxa"/>
              <w:left w:w="120" w:type="dxa"/>
              <w:right w:w="120" w:type="dxa"/>
            </w:tcMar>
            <w:shd w:fill="F8FAFC"/>
          </w:tcPr>
          <w:p>
            <w:pPr>
              <w:spacing w:after="0"/>
            </w:pPr>
            <w:r>
              <w:rPr>
                <w:rFonts w:ascii="Arial" w:hAnsi="Arial"/>
                <w:color w:val="0F172A"/>
                <w:sz w:val="17"/>
              </w:rPr>
              <w:t>6</w:t>
            </w:r>
          </w:p>
        </w:tc>
        <w:tc>
          <w:tcPr>
            <w:tcW w:type="dxa" w:w="1728"/>
            <w:vAlign w:val="center"/>
            <w:tcMar>
              <w:top w:w="80" w:type="dxa"/>
              <w:bottom w:w="80" w:type="dxa"/>
              <w:left w:w="120" w:type="dxa"/>
              <w:right w:w="120" w:type="dxa"/>
            </w:tcMar>
            <w:shd w:fill="F8FAFC"/>
          </w:tcPr>
          <w:p>
            <w:pPr>
              <w:spacing w:after="0"/>
            </w:pPr>
            <w:r>
              <w:rPr>
                <w:rFonts w:ascii="Arial" w:hAnsi="Arial"/>
                <w:color w:val="0F172A"/>
                <w:sz w:val="17"/>
              </w:rPr>
              <w:t>LKR 78,000</w:t>
            </w:r>
          </w:p>
        </w:tc>
        <w:tc>
          <w:tcPr>
            <w:tcW w:type="dxa" w:w="1728"/>
            <w:vAlign w:val="center"/>
            <w:tcMar>
              <w:top w:w="80" w:type="dxa"/>
              <w:bottom w:w="80" w:type="dxa"/>
              <w:left w:w="120" w:type="dxa"/>
              <w:right w:w="120" w:type="dxa"/>
            </w:tcMar>
            <w:shd w:fill="F8FAFC"/>
          </w:tcPr>
          <w:p>
            <w:pPr>
              <w:spacing w:after="0"/>
            </w:pPr>
            <w:r>
              <w:rPr>
                <w:rFonts w:ascii="Arial" w:hAnsi="Arial"/>
                <w:color w:val="0F172A"/>
                <w:sz w:val="17"/>
              </w:rPr>
              <w:t>LKR 81,700</w:t>
            </w:r>
          </w:p>
        </w:tc>
        <w:tc>
          <w:tcPr>
            <w:tcW w:type="dxa" w:w="1685"/>
            <w:vAlign w:val="center"/>
            <w:tcMar>
              <w:top w:w="80" w:type="dxa"/>
              <w:bottom w:w="80" w:type="dxa"/>
              <w:left w:w="120" w:type="dxa"/>
              <w:right w:w="120" w:type="dxa"/>
            </w:tcMar>
            <w:shd w:fill="F8FAFC"/>
          </w:tcPr>
          <w:p>
            <w:pPr>
              <w:spacing w:after="0"/>
            </w:pPr>
            <w:r>
              <w:rPr>
                <w:rFonts w:ascii="Arial" w:hAnsi="Arial"/>
                <w:color w:val="0F172A"/>
                <w:sz w:val="17"/>
              </w:rPr>
              <w:t>LKR -3,700</w:t>
            </w:r>
          </w:p>
        </w:tc>
        <w:tc>
          <w:tcPr>
            <w:tcW w:type="dxa" w:w="1728"/>
            <w:vAlign w:val="center"/>
            <w:tcMar>
              <w:top w:w="80" w:type="dxa"/>
              <w:bottom w:w="80" w:type="dxa"/>
              <w:left w:w="120" w:type="dxa"/>
              <w:right w:w="120" w:type="dxa"/>
            </w:tcMar>
            <w:shd w:fill="F8FAFC"/>
          </w:tcPr>
          <w:p>
            <w:pPr>
              <w:spacing w:after="0"/>
            </w:pPr>
            <w:r>
              <w:rPr>
                <w:rFonts w:ascii="Arial" w:hAnsi="Arial"/>
                <w:color w:val="0F172A"/>
                <w:sz w:val="17"/>
              </w:rPr>
              <w:t>LKR 394,050</w:t>
            </w:r>
          </w:p>
        </w:tc>
      </w:tr>
      <w:tr>
        <w:tc>
          <w:tcPr>
            <w:tcW w:type="dxa" w:w="1440"/>
            <w:vAlign w:val="center"/>
            <w:tcMar>
              <w:top w:w="80" w:type="dxa"/>
              <w:bottom w:w="80" w:type="dxa"/>
              <w:left w:w="120" w:type="dxa"/>
              <w:right w:w="120" w:type="dxa"/>
            </w:tcMar>
            <w:shd w:fill="FFFFFF"/>
          </w:tcPr>
          <w:p>
            <w:pPr>
              <w:spacing w:after="0"/>
            </w:pPr>
            <w:r>
              <w:rPr>
                <w:rFonts w:ascii="Arial" w:hAnsi="Arial"/>
                <w:color w:val="0F172A"/>
                <w:sz w:val="17"/>
              </w:rPr>
              <w:t>Month 03</w:t>
            </w:r>
          </w:p>
        </w:tc>
        <w:tc>
          <w:tcPr>
            <w:tcW w:type="dxa" w:w="1440"/>
            <w:vAlign w:val="center"/>
            <w:tcMar>
              <w:top w:w="80" w:type="dxa"/>
              <w:bottom w:w="80" w:type="dxa"/>
              <w:left w:w="120" w:type="dxa"/>
              <w:right w:w="120" w:type="dxa"/>
            </w:tcMar>
            <w:shd w:fill="FFFFFF"/>
          </w:tcPr>
          <w:p>
            <w:pPr>
              <w:spacing w:after="0"/>
            </w:pPr>
            <w:r>
              <w:rPr>
                <w:rFonts w:ascii="Arial" w:hAnsi="Arial"/>
                <w:color w:val="0F172A"/>
                <w:sz w:val="17"/>
              </w:rPr>
              <w:t>7</w:t>
            </w:r>
          </w:p>
        </w:tc>
        <w:tc>
          <w:tcPr>
            <w:tcW w:type="dxa" w:w="1728"/>
            <w:vAlign w:val="center"/>
            <w:tcMar>
              <w:top w:w="80" w:type="dxa"/>
              <w:bottom w:w="80" w:type="dxa"/>
              <w:left w:w="120" w:type="dxa"/>
              <w:right w:w="120" w:type="dxa"/>
            </w:tcMar>
            <w:shd w:fill="FFFFFF"/>
          </w:tcPr>
          <w:p>
            <w:pPr>
              <w:spacing w:after="0"/>
            </w:pPr>
            <w:r>
              <w:rPr>
                <w:rFonts w:ascii="Arial" w:hAnsi="Arial"/>
                <w:color w:val="0F172A"/>
                <w:sz w:val="17"/>
              </w:rPr>
              <w:t>LKR 91,000</w:t>
            </w:r>
          </w:p>
        </w:tc>
        <w:tc>
          <w:tcPr>
            <w:tcW w:type="dxa" w:w="1728"/>
            <w:vAlign w:val="center"/>
            <w:tcMar>
              <w:top w:w="80" w:type="dxa"/>
              <w:bottom w:w="80" w:type="dxa"/>
              <w:left w:w="120" w:type="dxa"/>
              <w:right w:w="120" w:type="dxa"/>
            </w:tcMar>
            <w:shd w:fill="FFFFFF"/>
          </w:tcPr>
          <w:p>
            <w:pPr>
              <w:spacing w:after="0"/>
            </w:pPr>
            <w:r>
              <w:rPr>
                <w:rFonts w:ascii="Arial" w:hAnsi="Arial"/>
                <w:color w:val="0F172A"/>
                <w:sz w:val="17"/>
              </w:rPr>
              <w:t>LKR 83,650</w:t>
            </w:r>
          </w:p>
        </w:tc>
        <w:tc>
          <w:tcPr>
            <w:tcW w:type="dxa" w:w="1685"/>
            <w:vAlign w:val="center"/>
            <w:tcMar>
              <w:top w:w="80" w:type="dxa"/>
              <w:bottom w:w="80" w:type="dxa"/>
              <w:left w:w="120" w:type="dxa"/>
              <w:right w:w="120" w:type="dxa"/>
            </w:tcMar>
            <w:shd w:fill="FFFFFF"/>
          </w:tcPr>
          <w:p>
            <w:pPr>
              <w:spacing w:after="0"/>
            </w:pPr>
            <w:r>
              <w:rPr>
                <w:rFonts w:ascii="Arial" w:hAnsi="Arial"/>
                <w:color w:val="0F172A"/>
                <w:sz w:val="17"/>
              </w:rPr>
              <w:t>LKR 7,350</w:t>
            </w:r>
          </w:p>
        </w:tc>
        <w:tc>
          <w:tcPr>
            <w:tcW w:type="dxa" w:w="1728"/>
            <w:vAlign w:val="center"/>
            <w:tcMar>
              <w:top w:w="80" w:type="dxa"/>
              <w:bottom w:w="80" w:type="dxa"/>
              <w:left w:w="120" w:type="dxa"/>
              <w:right w:w="120" w:type="dxa"/>
            </w:tcMar>
            <w:shd w:fill="FFFFFF"/>
          </w:tcPr>
          <w:p>
            <w:pPr>
              <w:spacing w:after="0"/>
            </w:pPr>
            <w:r>
              <w:rPr>
                <w:rFonts w:ascii="Arial" w:hAnsi="Arial"/>
                <w:color w:val="0F172A"/>
                <w:sz w:val="17"/>
              </w:rPr>
              <w:t>LKR 401,400</w:t>
            </w:r>
          </w:p>
        </w:tc>
      </w:tr>
      <w:tr>
        <w:tc>
          <w:tcPr>
            <w:tcW w:type="dxa" w:w="1440"/>
            <w:vAlign w:val="center"/>
            <w:tcMar>
              <w:top w:w="80" w:type="dxa"/>
              <w:bottom w:w="80" w:type="dxa"/>
              <w:left w:w="120" w:type="dxa"/>
              <w:right w:w="120" w:type="dxa"/>
            </w:tcMar>
            <w:shd w:fill="F8FAFC"/>
          </w:tcPr>
          <w:p>
            <w:pPr>
              <w:spacing w:after="0"/>
            </w:pPr>
            <w:r>
              <w:rPr>
                <w:rFonts w:ascii="Arial" w:hAnsi="Arial"/>
                <w:color w:val="0F172A"/>
                <w:sz w:val="17"/>
              </w:rPr>
              <w:t>Month 06</w:t>
            </w:r>
          </w:p>
        </w:tc>
        <w:tc>
          <w:tcPr>
            <w:tcW w:type="dxa" w:w="1440"/>
            <w:vAlign w:val="center"/>
            <w:tcMar>
              <w:top w:w="80" w:type="dxa"/>
              <w:bottom w:w="80" w:type="dxa"/>
              <w:left w:w="120" w:type="dxa"/>
              <w:right w:w="120" w:type="dxa"/>
            </w:tcMar>
            <w:shd w:fill="F8FAFC"/>
          </w:tcPr>
          <w:p>
            <w:pPr>
              <w:spacing w:after="0"/>
            </w:pPr>
            <w:r>
              <w:rPr>
                <w:rFonts w:ascii="Arial" w:hAnsi="Arial"/>
                <w:color w:val="0F172A"/>
                <w:sz w:val="17"/>
              </w:rPr>
              <w:t>5</w:t>
            </w:r>
          </w:p>
        </w:tc>
        <w:tc>
          <w:tcPr>
            <w:tcW w:type="dxa" w:w="1728"/>
            <w:vAlign w:val="center"/>
            <w:tcMar>
              <w:top w:w="80" w:type="dxa"/>
              <w:bottom w:w="80" w:type="dxa"/>
              <w:left w:w="120" w:type="dxa"/>
              <w:right w:w="120" w:type="dxa"/>
            </w:tcMar>
            <w:shd w:fill="F8FAFC"/>
          </w:tcPr>
          <w:p>
            <w:pPr>
              <w:spacing w:after="0"/>
            </w:pPr>
            <w:r>
              <w:rPr>
                <w:rFonts w:ascii="Arial" w:hAnsi="Arial"/>
                <w:color w:val="0F172A"/>
                <w:sz w:val="17"/>
              </w:rPr>
              <w:t>LKR 65,000</w:t>
            </w:r>
          </w:p>
        </w:tc>
        <w:tc>
          <w:tcPr>
            <w:tcW w:type="dxa" w:w="1728"/>
            <w:vAlign w:val="center"/>
            <w:tcMar>
              <w:top w:w="80" w:type="dxa"/>
              <w:bottom w:w="80" w:type="dxa"/>
              <w:left w:w="120" w:type="dxa"/>
              <w:right w:w="120" w:type="dxa"/>
            </w:tcMar>
            <w:shd w:fill="F8FAFC"/>
          </w:tcPr>
          <w:p>
            <w:pPr>
              <w:spacing w:after="0"/>
            </w:pPr>
            <w:r>
              <w:rPr>
                <w:rFonts w:ascii="Arial" w:hAnsi="Arial"/>
                <w:color w:val="0F172A"/>
                <w:sz w:val="17"/>
              </w:rPr>
              <w:t>LKR 79,750</w:t>
            </w:r>
          </w:p>
        </w:tc>
        <w:tc>
          <w:tcPr>
            <w:tcW w:type="dxa" w:w="1685"/>
            <w:vAlign w:val="center"/>
            <w:tcMar>
              <w:top w:w="80" w:type="dxa"/>
              <w:bottom w:w="80" w:type="dxa"/>
              <w:left w:w="120" w:type="dxa"/>
              <w:right w:w="120" w:type="dxa"/>
            </w:tcMar>
            <w:shd w:fill="F8FAFC"/>
          </w:tcPr>
          <w:p>
            <w:pPr>
              <w:spacing w:after="0"/>
            </w:pPr>
            <w:r>
              <w:rPr>
                <w:rFonts w:ascii="Arial" w:hAnsi="Arial"/>
                <w:color w:val="0F172A"/>
                <w:sz w:val="17"/>
              </w:rPr>
              <w:t>LKR -14,750</w:t>
            </w:r>
          </w:p>
        </w:tc>
        <w:tc>
          <w:tcPr>
            <w:tcW w:type="dxa" w:w="1728"/>
            <w:vAlign w:val="center"/>
            <w:tcMar>
              <w:top w:w="80" w:type="dxa"/>
              <w:bottom w:w="80" w:type="dxa"/>
              <w:left w:w="120" w:type="dxa"/>
              <w:right w:w="120" w:type="dxa"/>
            </w:tcMar>
            <w:shd w:fill="F8FAFC"/>
          </w:tcPr>
          <w:p>
            <w:pPr>
              <w:spacing w:after="0"/>
            </w:pPr>
            <w:r>
              <w:rPr>
                <w:rFonts w:ascii="Arial" w:hAnsi="Arial"/>
                <w:color w:val="0F172A"/>
                <w:sz w:val="17"/>
              </w:rPr>
              <w:t>LKR 412,400</w:t>
            </w:r>
          </w:p>
        </w:tc>
      </w:tr>
      <w:tr>
        <w:tc>
          <w:tcPr>
            <w:tcW w:type="dxa" w:w="1440"/>
            <w:vAlign w:val="center"/>
            <w:tcMar>
              <w:top w:w="80" w:type="dxa"/>
              <w:bottom w:w="80" w:type="dxa"/>
              <w:left w:w="120" w:type="dxa"/>
              <w:right w:w="120" w:type="dxa"/>
            </w:tcMar>
            <w:shd w:fill="FFFFFF"/>
          </w:tcPr>
          <w:p>
            <w:pPr>
              <w:spacing w:after="0"/>
            </w:pPr>
            <w:r>
              <w:rPr>
                <w:rFonts w:ascii="Arial" w:hAnsi="Arial"/>
                <w:color w:val="0F172A"/>
                <w:sz w:val="17"/>
              </w:rPr>
              <w:t>Month 09</w:t>
            </w:r>
          </w:p>
        </w:tc>
        <w:tc>
          <w:tcPr>
            <w:tcW w:type="dxa" w:w="1440"/>
            <w:vAlign w:val="center"/>
            <w:tcMar>
              <w:top w:w="80" w:type="dxa"/>
              <w:bottom w:w="80" w:type="dxa"/>
              <w:left w:w="120" w:type="dxa"/>
              <w:right w:w="120" w:type="dxa"/>
            </w:tcMar>
            <w:shd w:fill="FFFFFF"/>
          </w:tcPr>
          <w:p>
            <w:pPr>
              <w:spacing w:after="0"/>
            </w:pPr>
            <w:r>
              <w:rPr>
                <w:rFonts w:ascii="Arial" w:hAnsi="Arial"/>
                <w:color w:val="0F172A"/>
                <w:sz w:val="17"/>
              </w:rPr>
              <w:t>6</w:t>
            </w:r>
          </w:p>
        </w:tc>
        <w:tc>
          <w:tcPr>
            <w:tcW w:type="dxa" w:w="1728"/>
            <w:vAlign w:val="center"/>
            <w:tcMar>
              <w:top w:w="80" w:type="dxa"/>
              <w:bottom w:w="80" w:type="dxa"/>
              <w:left w:w="120" w:type="dxa"/>
              <w:right w:w="120" w:type="dxa"/>
            </w:tcMar>
            <w:shd w:fill="FFFFFF"/>
          </w:tcPr>
          <w:p>
            <w:pPr>
              <w:spacing w:after="0"/>
            </w:pPr>
            <w:r>
              <w:rPr>
                <w:rFonts w:ascii="Arial" w:hAnsi="Arial"/>
                <w:color w:val="0F172A"/>
                <w:sz w:val="17"/>
              </w:rPr>
              <w:t>LKR 78,000</w:t>
            </w:r>
          </w:p>
        </w:tc>
        <w:tc>
          <w:tcPr>
            <w:tcW w:type="dxa" w:w="1728"/>
            <w:vAlign w:val="center"/>
            <w:tcMar>
              <w:top w:w="80" w:type="dxa"/>
              <w:bottom w:w="80" w:type="dxa"/>
              <w:left w:w="120" w:type="dxa"/>
              <w:right w:w="120" w:type="dxa"/>
            </w:tcMar>
            <w:shd w:fill="FFFFFF"/>
          </w:tcPr>
          <w:p>
            <w:pPr>
              <w:spacing w:after="0"/>
            </w:pPr>
            <w:r>
              <w:rPr>
                <w:rFonts w:ascii="Arial" w:hAnsi="Arial"/>
                <w:color w:val="0F172A"/>
                <w:sz w:val="17"/>
              </w:rPr>
              <w:t>LKR 81,700</w:t>
            </w:r>
          </w:p>
        </w:tc>
        <w:tc>
          <w:tcPr>
            <w:tcW w:type="dxa" w:w="1685"/>
            <w:vAlign w:val="center"/>
            <w:tcMar>
              <w:top w:w="80" w:type="dxa"/>
              <w:bottom w:w="80" w:type="dxa"/>
              <w:left w:w="120" w:type="dxa"/>
              <w:right w:w="120" w:type="dxa"/>
            </w:tcMar>
            <w:shd w:fill="FFFFFF"/>
          </w:tcPr>
          <w:p>
            <w:pPr>
              <w:spacing w:after="0"/>
            </w:pPr>
            <w:r>
              <w:rPr>
                <w:rFonts w:ascii="Arial" w:hAnsi="Arial"/>
                <w:color w:val="0F172A"/>
                <w:sz w:val="17"/>
              </w:rPr>
              <w:t>LKR -3,700</w:t>
            </w:r>
          </w:p>
        </w:tc>
        <w:tc>
          <w:tcPr>
            <w:tcW w:type="dxa" w:w="1728"/>
            <w:vAlign w:val="center"/>
            <w:tcMar>
              <w:top w:w="80" w:type="dxa"/>
              <w:bottom w:w="80" w:type="dxa"/>
              <w:left w:w="120" w:type="dxa"/>
              <w:right w:w="120" w:type="dxa"/>
            </w:tcMar>
            <w:shd w:fill="FFFFFF"/>
          </w:tcPr>
          <w:p>
            <w:pPr>
              <w:spacing w:after="0"/>
            </w:pPr>
            <w:r>
              <w:rPr>
                <w:rFonts w:ascii="Arial" w:hAnsi="Arial"/>
                <w:color w:val="0F172A"/>
                <w:sz w:val="17"/>
              </w:rPr>
              <w:t>LKR 390,250</w:t>
            </w:r>
          </w:p>
        </w:tc>
      </w:tr>
      <w:tr>
        <w:tc>
          <w:tcPr>
            <w:tcW w:type="dxa" w:w="1440"/>
            <w:vAlign w:val="center"/>
            <w:tcMar>
              <w:top w:w="80" w:type="dxa"/>
              <w:bottom w:w="80" w:type="dxa"/>
              <w:left w:w="120" w:type="dxa"/>
              <w:right w:w="120" w:type="dxa"/>
            </w:tcMar>
            <w:shd w:fill="F8FAFC"/>
          </w:tcPr>
          <w:p>
            <w:pPr>
              <w:spacing w:after="0"/>
            </w:pPr>
            <w:r>
              <w:rPr>
                <w:rFonts w:ascii="Arial" w:hAnsi="Arial"/>
                <w:color w:val="0F172A"/>
                <w:sz w:val="17"/>
              </w:rPr>
              <w:t>Month 12</w:t>
            </w:r>
          </w:p>
        </w:tc>
        <w:tc>
          <w:tcPr>
            <w:tcW w:type="dxa" w:w="1440"/>
            <w:vAlign w:val="center"/>
            <w:tcMar>
              <w:top w:w="80" w:type="dxa"/>
              <w:bottom w:w="80" w:type="dxa"/>
              <w:left w:w="120" w:type="dxa"/>
              <w:right w:w="120" w:type="dxa"/>
            </w:tcMar>
            <w:shd w:fill="F8FAFC"/>
          </w:tcPr>
          <w:p>
            <w:pPr>
              <w:spacing w:after="0"/>
            </w:pPr>
            <w:r>
              <w:rPr>
                <w:rFonts w:ascii="Arial" w:hAnsi="Arial"/>
                <w:color w:val="0F172A"/>
                <w:sz w:val="17"/>
              </w:rPr>
              <w:t>8</w:t>
            </w:r>
          </w:p>
        </w:tc>
        <w:tc>
          <w:tcPr>
            <w:tcW w:type="dxa" w:w="1728"/>
            <w:vAlign w:val="center"/>
            <w:tcMar>
              <w:top w:w="80" w:type="dxa"/>
              <w:bottom w:w="80" w:type="dxa"/>
              <w:left w:w="120" w:type="dxa"/>
              <w:right w:w="120" w:type="dxa"/>
            </w:tcMar>
            <w:shd w:fill="F8FAFC"/>
          </w:tcPr>
          <w:p>
            <w:pPr>
              <w:spacing w:after="0"/>
            </w:pPr>
            <w:r>
              <w:rPr>
                <w:rFonts w:ascii="Arial" w:hAnsi="Arial"/>
                <w:color w:val="0F172A"/>
                <w:sz w:val="17"/>
              </w:rPr>
              <w:t>LKR 104,000</w:t>
            </w:r>
          </w:p>
        </w:tc>
        <w:tc>
          <w:tcPr>
            <w:tcW w:type="dxa" w:w="1728"/>
            <w:vAlign w:val="center"/>
            <w:tcMar>
              <w:top w:w="80" w:type="dxa"/>
              <w:bottom w:w="80" w:type="dxa"/>
              <w:left w:w="120" w:type="dxa"/>
              <w:right w:w="120" w:type="dxa"/>
            </w:tcMar>
            <w:shd w:fill="F8FAFC"/>
          </w:tcPr>
          <w:p>
            <w:pPr>
              <w:spacing w:after="0"/>
            </w:pPr>
            <w:r>
              <w:rPr>
                <w:rFonts w:ascii="Arial" w:hAnsi="Arial"/>
                <w:color w:val="0F172A"/>
                <w:sz w:val="17"/>
              </w:rPr>
              <w:t>LKR 85,600</w:t>
            </w:r>
          </w:p>
        </w:tc>
        <w:tc>
          <w:tcPr>
            <w:tcW w:type="dxa" w:w="1685"/>
            <w:vAlign w:val="center"/>
            <w:tcMar>
              <w:top w:w="80" w:type="dxa"/>
              <w:bottom w:w="80" w:type="dxa"/>
              <w:left w:w="120" w:type="dxa"/>
              <w:right w:w="120" w:type="dxa"/>
            </w:tcMar>
            <w:shd w:fill="F8FAFC"/>
          </w:tcPr>
          <w:p>
            <w:pPr>
              <w:spacing w:after="0"/>
            </w:pPr>
            <w:r>
              <w:rPr>
                <w:rFonts w:ascii="Arial" w:hAnsi="Arial"/>
                <w:color w:val="0F172A"/>
                <w:sz w:val="17"/>
              </w:rPr>
              <w:t>LKR 18,400</w:t>
            </w:r>
          </w:p>
        </w:tc>
        <w:tc>
          <w:tcPr>
            <w:tcW w:type="dxa" w:w="1728"/>
            <w:vAlign w:val="center"/>
            <w:tcMar>
              <w:top w:w="80" w:type="dxa"/>
              <w:bottom w:w="80" w:type="dxa"/>
              <w:left w:w="120" w:type="dxa"/>
              <w:right w:w="120" w:type="dxa"/>
            </w:tcMar>
            <w:shd w:fill="F8FAFC"/>
          </w:tcPr>
          <w:p>
            <w:pPr>
              <w:spacing w:after="0"/>
            </w:pPr>
            <w:r>
              <w:rPr>
                <w:rFonts w:ascii="Arial" w:hAnsi="Arial"/>
                <w:color w:val="0F172A"/>
                <w:sz w:val="17"/>
              </w:rPr>
              <w:t>LKR 423,350</w:t>
            </w:r>
          </w:p>
        </w:tc>
      </w:tr>
    </w:tbl>
    <w:p>
      <w:r>
        <w:br w:type="page"/>
      </w:r>
    </w:p>
    <w:p>
      <w:pPr>
        <w:keepNext/>
        <w:spacing w:before="280" w:after="100"/>
      </w:pPr>
      <w:r>
        <w:rPr>
          <w:rFonts w:ascii="Arial" w:hAnsi="Arial"/>
          <w:b/>
          <w:color w:val="1E3A8A"/>
          <w:sz w:val="30"/>
        </w:rPr>
        <w:t>05 — Scenario Analysis &amp; Action Roadmap</w:t>
      </w:r>
    </w:p>
    <w:p>
      <w:pPr>
        <w:keepNext/>
        <w:spacing w:before="200" w:after="60"/>
      </w:pPr>
      <w:r>
        <w:rPr>
          <w:rFonts w:ascii="Arial" w:hAnsi="Arial"/>
          <w:b/>
          <w:color w:val="1E3A8A"/>
          <w:sz w:val="22"/>
        </w:rPr>
        <w:t>5.1 Assumption Sensitivity Simulations (What-If)</w:t>
      </w:r>
    </w:p>
    <w:p>
      <w:pPr>
        <w:jc w:val="center"/>
      </w:pPr>
      <w:r>
        <w:drawing>
          <wp:inline xmlns:a="http://schemas.openxmlformats.org/drawingml/2006/main" xmlns:pic="http://schemas.openxmlformats.org/drawingml/2006/picture">
            <wp:extent cx="6190488" cy="220901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190488" cy="2209010"/>
                    </a:xfrm>
                    <a:prstGeom prst="rect"/>
                  </pic:spPr>
                </pic:pic>
              </a:graphicData>
            </a:graphic>
          </wp:inline>
        </w:drawing>
      </w:r>
    </w:p>
    <w:tbl>
      <w:tblPr>
        <w:tblW w:type="auto" w:w="0"/>
        <w:jc w:val="center"/>
        <w:tblLook w:firstColumn="1" w:firstRow="1" w:lastColumn="0" w:lastRow="0" w:noHBand="0" w:noVBand="1" w:val="04A0"/>
      </w:tblPr>
      <w:tblGrid>
        <w:gridCol w:w="2437"/>
        <w:gridCol w:w="2437"/>
        <w:gridCol w:w="2437"/>
        <w:gridCol w:w="2437"/>
      </w:tblGrid>
      <w:tr>
        <w:tc>
          <w:tcPr>
            <w:tcW w:type="dxa" w:w="2448"/>
            <w:vAlign w:val="center"/>
            <w:tcMar>
              <w:top w:w="80" w:type="dxa"/>
              <w:bottom w:w="80" w:type="dxa"/>
              <w:left w:w="120" w:type="dxa"/>
              <w:right w:w="120" w:type="dxa"/>
            </w:tcMar>
            <w:shd w:fill="1E3A8A"/>
          </w:tcPr>
          <w:p>
            <w:pPr>
              <w:spacing w:after="0"/>
            </w:pPr>
            <w:r>
              <w:rPr>
                <w:rFonts w:ascii="Arial" w:hAnsi="Arial"/>
                <w:b/>
                <w:color w:val="FFFFFF"/>
                <w:sz w:val="17"/>
              </w:rPr>
              <w:t>Scenario</w:t>
            </w:r>
          </w:p>
        </w:tc>
        <w:tc>
          <w:tcPr>
            <w:tcW w:type="dxa" w:w="1584"/>
            <w:vAlign w:val="center"/>
            <w:tcMar>
              <w:top w:w="80" w:type="dxa"/>
              <w:bottom w:w="80" w:type="dxa"/>
              <w:left w:w="120" w:type="dxa"/>
              <w:right w:w="120" w:type="dxa"/>
            </w:tcMar>
            <w:shd w:fill="1E3A8A"/>
          </w:tcPr>
          <w:p>
            <w:pPr>
              <w:spacing w:after="0"/>
            </w:pPr>
            <w:r>
              <w:rPr>
                <w:rFonts w:ascii="Arial" w:hAnsi="Arial"/>
                <w:b/>
                <w:color w:val="FFFFFF"/>
                <w:sz w:val="17"/>
              </w:rPr>
              <w:t>Feasible Delta</w:t>
            </w:r>
          </w:p>
        </w:tc>
        <w:tc>
          <w:tcPr>
            <w:tcW w:type="dxa" w:w="1584"/>
            <w:vAlign w:val="center"/>
            <w:tcMar>
              <w:top w:w="80" w:type="dxa"/>
              <w:bottom w:w="80" w:type="dxa"/>
              <w:left w:w="120" w:type="dxa"/>
              <w:right w:w="120" w:type="dxa"/>
            </w:tcMar>
            <w:shd w:fill="1E3A8A"/>
          </w:tcPr>
          <w:p>
            <w:pPr>
              <w:spacing w:after="0"/>
            </w:pPr>
            <w:r>
              <w:rPr>
                <w:rFonts w:ascii="Arial" w:hAnsi="Arial"/>
                <w:b/>
                <w:color w:val="FFFFFF"/>
                <w:sz w:val="17"/>
              </w:rPr>
              <w:t>Viability Score</w:t>
            </w:r>
          </w:p>
        </w:tc>
        <w:tc>
          <w:tcPr>
            <w:tcW w:type="dxa" w:w="4133"/>
            <w:vAlign w:val="center"/>
            <w:tcMar>
              <w:top w:w="80" w:type="dxa"/>
              <w:bottom w:w="80" w:type="dxa"/>
              <w:left w:w="120" w:type="dxa"/>
              <w:right w:w="120" w:type="dxa"/>
            </w:tcMar>
            <w:shd w:fill="1E3A8A"/>
          </w:tcPr>
          <w:p>
            <w:pPr>
              <w:spacing w:after="0"/>
            </w:pPr>
            <w:r>
              <w:rPr>
                <w:rFonts w:ascii="Arial" w:hAnsi="Arial"/>
                <w:b/>
                <w:color w:val="FFFFFF"/>
                <w:sz w:val="17"/>
              </w:rPr>
              <w:t>Model Sensitivity &amp; What Flips The Class</w:t>
            </w:r>
          </w:p>
        </w:tc>
      </w:tr>
      <w:tr>
        <w:tc>
          <w:tcPr>
            <w:tcW w:type="dxa" w:w="2448"/>
            <w:vAlign w:val="center"/>
            <w:tcMar>
              <w:top w:w="80" w:type="dxa"/>
              <w:bottom w:w="80" w:type="dxa"/>
              <w:left w:w="120" w:type="dxa"/>
              <w:right w:w="120" w:type="dxa"/>
            </w:tcMar>
            <w:shd w:fill="FFFFFF"/>
          </w:tcPr>
          <w:p>
            <w:pPr>
              <w:spacing w:after="0"/>
            </w:pPr>
            <w:r>
              <w:rPr>
                <w:rFonts w:ascii="Arial" w:hAnsi="Arial"/>
                <w:color w:val="0F172A"/>
                <w:sz w:val="17"/>
              </w:rPr>
              <w:t>+50% Capital Injection</w:t>
            </w:r>
          </w:p>
        </w:tc>
        <w:tc>
          <w:tcPr>
            <w:tcW w:type="dxa" w:w="1584"/>
            <w:vAlign w:val="center"/>
            <w:tcMar>
              <w:top w:w="80" w:type="dxa"/>
              <w:bottom w:w="80" w:type="dxa"/>
              <w:left w:w="120" w:type="dxa"/>
              <w:right w:w="120" w:type="dxa"/>
            </w:tcMar>
            <w:shd w:fill="FFFFFF"/>
          </w:tcPr>
          <w:p>
            <w:pPr>
              <w:spacing w:after="0"/>
            </w:pPr>
            <w:r>
              <w:rPr>
                <w:rFonts w:ascii="Arial" w:hAnsi="Arial"/>
                <w:color w:val="0F172A"/>
                <w:sz w:val="17"/>
              </w:rPr>
              <w:t>+0.0%</w:t>
            </w:r>
          </w:p>
        </w:tc>
        <w:tc>
          <w:tcPr>
            <w:tcW w:type="dxa" w:w="1584"/>
            <w:vAlign w:val="center"/>
            <w:tcMar>
              <w:top w:w="80" w:type="dxa"/>
              <w:bottom w:w="80" w:type="dxa"/>
              <w:left w:w="120" w:type="dxa"/>
              <w:right w:w="120" w:type="dxa"/>
            </w:tcMar>
            <w:shd w:fill="FFFFFF"/>
          </w:tcPr>
          <w:p>
            <w:pPr>
              <w:spacing w:after="0"/>
            </w:pPr>
            <w:r>
              <w:rPr>
                <w:rFonts w:ascii="Arial" w:hAnsi="Arial"/>
                <w:color w:val="0F172A"/>
                <w:sz w:val="17"/>
              </w:rPr>
              <w:t>+0.0%</w:t>
            </w:r>
          </w:p>
        </w:tc>
        <w:tc>
          <w:tcPr>
            <w:tcW w:type="dxa" w:w="4133"/>
            <w:vAlign w:val="center"/>
            <w:tcMar>
              <w:top w:w="80" w:type="dxa"/>
              <w:bottom w:w="80" w:type="dxa"/>
              <w:left w:w="120" w:type="dxa"/>
              <w:right w:w="120" w:type="dxa"/>
            </w:tcMar>
            <w:shd w:fill="FFFFFF"/>
          </w:tcPr>
          <w:p>
            <w:pPr>
              <w:spacing w:after="0"/>
            </w:pPr>
            <w:r>
              <w:rPr>
                <w:rFonts w:ascii="Arial" w:hAnsi="Arial"/>
                <w:color w:val="0F172A"/>
                <w:sz w:val="17"/>
              </w:rPr>
              <w:t>Model Insensitivity Note: Capital adequacy trees plateau above ~LKR 1,000,000. Because baseline capital (LKR 1.65M) is already sufficient, additional liquidity alone does not increase feasibility classification without accompanying customer footfall. To flip to Feasible: Pair additional capital with targeted demand generation (≥12 customers/day).</w:t>
            </w:r>
          </w:p>
        </w:tc>
      </w:tr>
      <w:tr>
        <w:tc>
          <w:tcPr>
            <w:tcW w:type="dxa" w:w="2448"/>
            <w:vAlign w:val="center"/>
            <w:tcMar>
              <w:top w:w="80" w:type="dxa"/>
              <w:bottom w:w="80" w:type="dxa"/>
              <w:left w:w="120" w:type="dxa"/>
              <w:right w:w="120" w:type="dxa"/>
            </w:tcMar>
            <w:shd w:fill="F8FAFC"/>
          </w:tcPr>
          <w:p>
            <w:pPr>
              <w:spacing w:after="0"/>
            </w:pPr>
            <w:r>
              <w:rPr>
                <w:rFonts w:ascii="Arial" w:hAnsi="Arial"/>
                <w:color w:val="0F172A"/>
                <w:sz w:val="17"/>
              </w:rPr>
              <w:t>Secured SME Working Loan (LKR 500,000)</w:t>
            </w:r>
          </w:p>
        </w:tc>
        <w:tc>
          <w:tcPr>
            <w:tcW w:type="dxa" w:w="1584"/>
            <w:vAlign w:val="center"/>
            <w:tcMar>
              <w:top w:w="80" w:type="dxa"/>
              <w:bottom w:w="80" w:type="dxa"/>
              <w:left w:w="120" w:type="dxa"/>
              <w:right w:w="120" w:type="dxa"/>
            </w:tcMar>
            <w:shd w:fill="F8FAFC"/>
          </w:tcPr>
          <w:p>
            <w:pPr>
              <w:spacing w:after="0"/>
            </w:pPr>
            <w:r>
              <w:rPr>
                <w:rFonts w:ascii="Arial" w:hAnsi="Arial"/>
                <w:color w:val="0F172A"/>
                <w:sz w:val="17"/>
              </w:rPr>
              <w:t>-7.5%</w:t>
            </w:r>
          </w:p>
        </w:tc>
        <w:tc>
          <w:tcPr>
            <w:tcW w:type="dxa" w:w="1584"/>
            <w:vAlign w:val="center"/>
            <w:tcMar>
              <w:top w:w="80" w:type="dxa"/>
              <w:bottom w:w="80" w:type="dxa"/>
              <w:left w:w="120" w:type="dxa"/>
              <w:right w:w="120" w:type="dxa"/>
            </w:tcMar>
            <w:shd w:fill="F8FAFC"/>
          </w:tcPr>
          <w:p>
            <w:pPr>
              <w:spacing w:after="0"/>
            </w:pPr>
            <w:r>
              <w:rPr>
                <w:rFonts w:ascii="Arial" w:hAnsi="Arial"/>
                <w:color w:val="0F172A"/>
                <w:sz w:val="17"/>
              </w:rPr>
              <w:t>-9.0%</w:t>
            </w:r>
          </w:p>
        </w:tc>
        <w:tc>
          <w:tcPr>
            <w:tcW w:type="dxa" w:w="4133"/>
            <w:vAlign w:val="center"/>
            <w:tcMar>
              <w:top w:w="80" w:type="dxa"/>
              <w:bottom w:w="80" w:type="dxa"/>
              <w:left w:w="120" w:type="dxa"/>
              <w:right w:w="120" w:type="dxa"/>
            </w:tcMar>
            <w:shd w:fill="F8FAFC"/>
          </w:tcPr>
          <w:p>
            <w:pPr>
              <w:spacing w:after="0"/>
            </w:pPr>
            <w:r>
              <w:rPr>
                <w:rFonts w:ascii="Arial" w:hAnsi="Arial"/>
                <w:color w:val="0F172A"/>
                <w:sz w:val="17"/>
              </w:rPr>
              <w:t>Debt Burden Impact: A bank loan introduces mandatory monthly repayment liabilities. Without immediate demand expansion, the classifier views additional debt as elevated leverage risk, moderating feasibility. To flip to Feasible: Avoid debt until revenue covers fixed costs, or deploy loan proceeds strictly into customer acquisition.</w:t>
            </w:r>
          </w:p>
        </w:tc>
      </w:tr>
      <w:tr>
        <w:tc>
          <w:tcPr>
            <w:tcW w:type="dxa" w:w="2448"/>
            <w:vAlign w:val="center"/>
            <w:tcMar>
              <w:top w:w="80" w:type="dxa"/>
              <w:bottom w:w="80" w:type="dxa"/>
              <w:left w:w="120" w:type="dxa"/>
              <w:right w:w="120" w:type="dxa"/>
            </w:tcMar>
            <w:shd w:fill="FFFFFF"/>
          </w:tcPr>
          <w:p>
            <w:pPr>
              <w:spacing w:after="0"/>
            </w:pPr>
            <w:r>
              <w:rPr>
                <w:rFonts w:ascii="Arial" w:hAnsi="Arial"/>
                <w:color w:val="0F172A"/>
                <w:sz w:val="17"/>
              </w:rPr>
              <w:t>+30% Customer Footfall Boost</w:t>
            </w:r>
          </w:p>
        </w:tc>
        <w:tc>
          <w:tcPr>
            <w:tcW w:type="dxa" w:w="1584"/>
            <w:vAlign w:val="center"/>
            <w:tcMar>
              <w:top w:w="80" w:type="dxa"/>
              <w:bottom w:w="80" w:type="dxa"/>
              <w:left w:w="120" w:type="dxa"/>
              <w:right w:w="120" w:type="dxa"/>
            </w:tcMar>
            <w:shd w:fill="FFFFFF"/>
          </w:tcPr>
          <w:p>
            <w:pPr>
              <w:spacing w:after="0"/>
            </w:pPr>
            <w:r>
              <w:rPr>
                <w:rFonts w:ascii="Arial" w:hAnsi="Arial"/>
                <w:color w:val="0F172A"/>
                <w:sz w:val="17"/>
              </w:rPr>
              <w:t>+0.5%</w:t>
            </w:r>
          </w:p>
        </w:tc>
        <w:tc>
          <w:tcPr>
            <w:tcW w:type="dxa" w:w="1584"/>
            <w:vAlign w:val="center"/>
            <w:tcMar>
              <w:top w:w="80" w:type="dxa"/>
              <w:bottom w:w="80" w:type="dxa"/>
              <w:left w:w="120" w:type="dxa"/>
              <w:right w:w="120" w:type="dxa"/>
            </w:tcMar>
            <w:shd w:fill="FFFFFF"/>
          </w:tcPr>
          <w:p>
            <w:pPr>
              <w:spacing w:after="0"/>
            </w:pPr>
            <w:r>
              <w:rPr>
                <w:rFonts w:ascii="Arial" w:hAnsi="Arial"/>
                <w:color w:val="0F172A"/>
                <w:sz w:val="17"/>
              </w:rPr>
              <w:t>+2.5%</w:t>
            </w:r>
          </w:p>
        </w:tc>
        <w:tc>
          <w:tcPr>
            <w:tcW w:type="dxa" w:w="4133"/>
            <w:vAlign w:val="center"/>
            <w:tcMar>
              <w:top w:w="80" w:type="dxa"/>
              <w:bottom w:w="80" w:type="dxa"/>
              <w:left w:w="120" w:type="dxa"/>
              <w:right w:w="120" w:type="dxa"/>
            </w:tcMar>
            <w:shd w:fill="FFFFFF"/>
          </w:tcPr>
          <w:p>
            <w:pPr>
              <w:spacing w:after="0"/>
            </w:pPr>
            <w:r>
              <w:rPr>
                <w:rFonts w:ascii="Arial" w:hAnsi="Arial"/>
                <w:color w:val="0F172A"/>
                <w:sz w:val="17"/>
              </w:rPr>
              <w:t>Demand Expansion Impact: Increasing footfall and demand score drives the highest positive shift (Feasible +0.5%), confirming market demand is the enterprise's primary growth bottleneck. Reaching 14+ customers/day and Demand Score ≥60/100 successfully flips the enterprise to 'Feasible'.</w:t>
            </w:r>
          </w:p>
        </w:tc>
      </w:tr>
      <w:tr>
        <w:tc>
          <w:tcPr>
            <w:tcW w:type="dxa" w:w="2448"/>
            <w:vAlign w:val="center"/>
            <w:tcMar>
              <w:top w:w="80" w:type="dxa"/>
              <w:bottom w:w="80" w:type="dxa"/>
              <w:left w:w="120" w:type="dxa"/>
              <w:right w:w="120" w:type="dxa"/>
            </w:tcMar>
            <w:shd w:fill="F8FAFC"/>
          </w:tcPr>
          <w:p>
            <w:pPr>
              <w:spacing w:after="0"/>
            </w:pPr>
            <w:r>
              <w:rPr>
                <w:rFonts w:ascii="Arial" w:hAnsi="Arial"/>
                <w:color w:val="0F172A"/>
                <w:sz w:val="17"/>
              </w:rPr>
              <w:t>Optimized Operating Cost (-20% Monthly Budget)</w:t>
            </w:r>
          </w:p>
        </w:tc>
        <w:tc>
          <w:tcPr>
            <w:tcW w:type="dxa" w:w="1584"/>
            <w:vAlign w:val="center"/>
            <w:tcMar>
              <w:top w:w="80" w:type="dxa"/>
              <w:bottom w:w="80" w:type="dxa"/>
              <w:left w:w="120" w:type="dxa"/>
              <w:right w:w="120" w:type="dxa"/>
            </w:tcMar>
            <w:shd w:fill="F8FAFC"/>
          </w:tcPr>
          <w:p>
            <w:pPr>
              <w:spacing w:after="0"/>
            </w:pPr>
            <w:r>
              <w:rPr>
                <w:rFonts w:ascii="Arial" w:hAnsi="Arial"/>
                <w:color w:val="0F172A"/>
                <w:sz w:val="17"/>
              </w:rPr>
              <w:t>+0.0%</w:t>
            </w:r>
          </w:p>
        </w:tc>
        <w:tc>
          <w:tcPr>
            <w:tcW w:type="dxa" w:w="1584"/>
            <w:vAlign w:val="center"/>
            <w:tcMar>
              <w:top w:w="80" w:type="dxa"/>
              <w:bottom w:w="80" w:type="dxa"/>
              <w:left w:w="120" w:type="dxa"/>
              <w:right w:w="120" w:type="dxa"/>
            </w:tcMar>
            <w:shd w:fill="F8FAFC"/>
          </w:tcPr>
          <w:p>
            <w:pPr>
              <w:spacing w:after="0"/>
            </w:pPr>
            <w:r>
              <w:rPr>
                <w:rFonts w:ascii="Arial" w:hAnsi="Arial"/>
                <w:color w:val="0F172A"/>
                <w:sz w:val="17"/>
              </w:rPr>
              <w:t>+0.0%</w:t>
            </w:r>
          </w:p>
        </w:tc>
        <w:tc>
          <w:tcPr>
            <w:tcW w:type="dxa" w:w="4133"/>
            <w:vAlign w:val="center"/>
            <w:tcMar>
              <w:top w:w="80" w:type="dxa"/>
              <w:bottom w:w="80" w:type="dxa"/>
              <w:left w:w="120" w:type="dxa"/>
              <w:right w:w="120" w:type="dxa"/>
            </w:tcMar>
            <w:shd w:fill="F8FAFC"/>
          </w:tcPr>
          <w:p>
            <w:pPr>
              <w:spacing w:after="0"/>
            </w:pPr>
            <w:r>
              <w:rPr>
                <w:rFonts w:ascii="Arial" w:hAnsi="Arial"/>
                <w:color w:val="0F172A"/>
                <w:sz w:val="17"/>
              </w:rPr>
              <w:t>Operating Efficiency Note: Budget reduction of 20% preserves cash runway but does not fundamentally alter the underlying customer demand score. Lean operations maintain runway but must be paired with service menu up-selling to reach 'Feasible'.</w:t>
            </w:r>
          </w:p>
        </w:tc>
      </w:tr>
    </w:tbl>
    <w:p>
      <w:pPr>
        <w:keepNext/>
        <w:spacing w:before="200" w:after="60"/>
      </w:pPr>
      <w:r>
        <w:rPr>
          <w:rFonts w:ascii="Arial" w:hAnsi="Arial"/>
          <w:b/>
          <w:color w:val="1E3A8A"/>
          <w:sz w:val="22"/>
        </w:rPr>
        <w:t>5.2 Multi-Dimensional Counterfactual Minimum Thresholds (Issue 4)</w:t>
      </w:r>
    </w:p>
    <w:tbl>
      <w:tblPr>
        <w:tblW w:type="auto" w:w="0"/>
        <w:jc w:val="center"/>
        <w:tblLook w:firstColumn="1" w:firstRow="1" w:lastColumn="0" w:lastRow="0" w:noHBand="0" w:noVBand="1" w:val="04A0"/>
      </w:tblPr>
      <w:tblGrid>
        <w:gridCol w:w="2437"/>
        <w:gridCol w:w="2437"/>
        <w:gridCol w:w="2437"/>
        <w:gridCol w:w="2437"/>
      </w:tblGrid>
      <w:tr>
        <w:tc>
          <w:tcPr>
            <w:tcW w:type="dxa" w:w="2160"/>
            <w:vAlign w:val="center"/>
            <w:tcMar>
              <w:top w:w="80" w:type="dxa"/>
              <w:bottom w:w="80" w:type="dxa"/>
              <w:left w:w="120" w:type="dxa"/>
              <w:right w:w="120" w:type="dxa"/>
            </w:tcMar>
            <w:shd w:fill="1E3A8A"/>
          </w:tcPr>
          <w:p>
            <w:pPr>
              <w:spacing w:after="0"/>
            </w:pPr>
            <w:r>
              <w:rPr>
                <w:rFonts w:ascii="Arial" w:hAnsi="Arial"/>
                <w:b/>
                <w:color w:val="FFFFFF"/>
                <w:sz w:val="17"/>
              </w:rPr>
              <w:t>Decision Lever</w:t>
            </w:r>
          </w:p>
        </w:tc>
        <w:tc>
          <w:tcPr>
            <w:tcW w:type="dxa" w:w="1584"/>
            <w:vAlign w:val="center"/>
            <w:tcMar>
              <w:top w:w="80" w:type="dxa"/>
              <w:bottom w:w="80" w:type="dxa"/>
              <w:left w:w="120" w:type="dxa"/>
              <w:right w:w="120" w:type="dxa"/>
            </w:tcMar>
            <w:shd w:fill="1E3A8A"/>
          </w:tcPr>
          <w:p>
            <w:pPr>
              <w:spacing w:after="0"/>
            </w:pPr>
            <w:r>
              <w:rPr>
                <w:rFonts w:ascii="Arial" w:hAnsi="Arial"/>
                <w:b/>
                <w:color w:val="FFFFFF"/>
                <w:sz w:val="17"/>
              </w:rPr>
              <w:t>Current</w:t>
            </w:r>
          </w:p>
        </w:tc>
        <w:tc>
          <w:tcPr>
            <w:tcW w:type="dxa" w:w="2016"/>
            <w:vAlign w:val="center"/>
            <w:tcMar>
              <w:top w:w="80" w:type="dxa"/>
              <w:bottom w:w="80" w:type="dxa"/>
              <w:left w:w="120" w:type="dxa"/>
              <w:right w:w="120" w:type="dxa"/>
            </w:tcMar>
            <w:shd w:fill="1E3A8A"/>
          </w:tcPr>
          <w:p>
            <w:pPr>
              <w:spacing w:after="0"/>
            </w:pPr>
            <w:r>
              <w:rPr>
                <w:rFonts w:ascii="Arial" w:hAnsi="Arial"/>
                <w:b/>
                <w:color w:val="FFFFFF"/>
                <w:sz w:val="17"/>
              </w:rPr>
              <w:t>Required Threshold</w:t>
            </w:r>
          </w:p>
        </w:tc>
        <w:tc>
          <w:tcPr>
            <w:tcW w:type="dxa" w:w="3989"/>
            <w:vAlign w:val="center"/>
            <w:tcMar>
              <w:top w:w="80" w:type="dxa"/>
              <w:bottom w:w="80" w:type="dxa"/>
              <w:left w:w="120" w:type="dxa"/>
              <w:right w:w="120" w:type="dxa"/>
            </w:tcMar>
            <w:shd w:fill="1E3A8A"/>
          </w:tcPr>
          <w:p>
            <w:pPr>
              <w:spacing w:after="0"/>
            </w:pPr>
            <w:r>
              <w:rPr>
                <w:rFonts w:ascii="Arial" w:hAnsi="Arial"/>
                <w:b/>
                <w:color w:val="FFFFFF"/>
                <w:sz w:val="17"/>
              </w:rPr>
              <w:t>Operational Gap &amp; Guidance</w:t>
            </w:r>
          </w:p>
        </w:tc>
      </w:tr>
      <w:tr>
        <w:tc>
          <w:tcPr>
            <w:tcW w:type="dxa" w:w="2160"/>
            <w:vAlign w:val="center"/>
            <w:tcMar>
              <w:top w:w="80" w:type="dxa"/>
              <w:bottom w:w="80" w:type="dxa"/>
              <w:left w:w="120" w:type="dxa"/>
              <w:right w:w="120" w:type="dxa"/>
            </w:tcMar>
            <w:shd w:fill="FFFFFF"/>
          </w:tcPr>
          <w:p>
            <w:pPr>
              <w:spacing w:after="0"/>
            </w:pPr>
            <w:r>
              <w:rPr>
                <w:rFonts w:ascii="Arial" w:hAnsi="Arial"/>
                <w:color w:val="0F172A"/>
                <w:sz w:val="17"/>
              </w:rPr>
              <w:t>Available Capital</w:t>
            </w:r>
          </w:p>
        </w:tc>
        <w:tc>
          <w:tcPr>
            <w:tcW w:type="dxa" w:w="1584"/>
            <w:vAlign w:val="center"/>
            <w:tcMar>
              <w:top w:w="80" w:type="dxa"/>
              <w:bottom w:w="80" w:type="dxa"/>
              <w:left w:w="120" w:type="dxa"/>
              <w:right w:w="120" w:type="dxa"/>
            </w:tcMar>
            <w:shd w:fill="FFFFFF"/>
          </w:tcPr>
          <w:p>
            <w:pPr>
              <w:spacing w:after="0"/>
            </w:pPr>
            <w:r>
              <w:rPr>
                <w:rFonts w:ascii="Arial" w:hAnsi="Arial"/>
                <w:color w:val="0F172A"/>
                <w:sz w:val="17"/>
              </w:rPr>
              <w:t>LKR 1,650,000.00</w:t>
            </w:r>
          </w:p>
        </w:tc>
        <w:tc>
          <w:tcPr>
            <w:tcW w:type="dxa" w:w="2016"/>
            <w:vAlign w:val="center"/>
            <w:tcMar>
              <w:top w:w="80" w:type="dxa"/>
              <w:bottom w:w="80" w:type="dxa"/>
              <w:left w:w="120" w:type="dxa"/>
              <w:right w:w="120" w:type="dxa"/>
            </w:tcMar>
            <w:shd w:fill="FFFFFF"/>
          </w:tcPr>
          <w:p>
            <w:pPr>
              <w:spacing w:after="0"/>
            </w:pPr>
            <w:r>
              <w:rPr>
                <w:rFonts w:ascii="Arial" w:hAnsi="Arial"/>
                <w:color w:val="0F172A"/>
                <w:sz w:val="17"/>
              </w:rPr>
              <w:t>LKR 1,650,000.00</w:t>
            </w:r>
          </w:p>
        </w:tc>
        <w:tc>
          <w:tcPr>
            <w:tcW w:type="dxa" w:w="3989"/>
            <w:vAlign w:val="center"/>
            <w:tcMar>
              <w:top w:w="80" w:type="dxa"/>
              <w:bottom w:w="80" w:type="dxa"/>
              <w:left w:w="120" w:type="dxa"/>
              <w:right w:w="120" w:type="dxa"/>
            </w:tcMar>
            <w:shd w:fill="FFFFFF"/>
          </w:tcPr>
          <w:p>
            <w:pPr>
              <w:spacing w:after="0"/>
            </w:pPr>
            <w:r>
              <w:rPr>
                <w:rFonts w:ascii="Arial" w:hAnsi="Arial"/>
                <w:color w:val="0F172A"/>
                <w:sz w:val="17"/>
              </w:rPr>
              <w:t>Adequate (0 LKR) — Current capital reserve is sufficient for launch setup; preserve cash for operational buffer.</w:t>
            </w:r>
          </w:p>
        </w:tc>
      </w:tr>
      <w:tr>
        <w:tc>
          <w:tcPr>
            <w:tcW w:type="dxa" w:w="2160"/>
            <w:vAlign w:val="center"/>
            <w:tcMar>
              <w:top w:w="80" w:type="dxa"/>
              <w:bottom w:w="80" w:type="dxa"/>
              <w:left w:w="120" w:type="dxa"/>
              <w:right w:w="120" w:type="dxa"/>
            </w:tcMar>
            <w:shd w:fill="F8FAFC"/>
          </w:tcPr>
          <w:p>
            <w:pPr>
              <w:spacing w:after="0"/>
            </w:pPr>
            <w:r>
              <w:rPr>
                <w:rFonts w:ascii="Arial" w:hAnsi="Arial"/>
                <w:color w:val="0F172A"/>
                <w:sz w:val="17"/>
              </w:rPr>
              <w:t>Customer Demand Score</w:t>
            </w:r>
          </w:p>
        </w:tc>
        <w:tc>
          <w:tcPr>
            <w:tcW w:type="dxa" w:w="1584"/>
            <w:vAlign w:val="center"/>
            <w:tcMar>
              <w:top w:w="80" w:type="dxa"/>
              <w:bottom w:w="80" w:type="dxa"/>
              <w:left w:w="120" w:type="dxa"/>
              <w:right w:w="120" w:type="dxa"/>
            </w:tcMar>
            <w:shd w:fill="F8FAFC"/>
          </w:tcPr>
          <w:p>
            <w:pPr>
              <w:spacing w:after="0"/>
            </w:pPr>
            <w:r>
              <w:rPr>
                <w:rFonts w:ascii="Arial" w:hAnsi="Arial"/>
                <w:color w:val="0F172A"/>
                <w:sz w:val="17"/>
              </w:rPr>
              <w:t>35 / 100</w:t>
            </w:r>
          </w:p>
        </w:tc>
        <w:tc>
          <w:tcPr>
            <w:tcW w:type="dxa" w:w="2016"/>
            <w:vAlign w:val="center"/>
            <w:tcMar>
              <w:top w:w="80" w:type="dxa"/>
              <w:bottom w:w="80" w:type="dxa"/>
              <w:left w:w="120" w:type="dxa"/>
              <w:right w:w="120" w:type="dxa"/>
            </w:tcMar>
            <w:shd w:fill="F8FAFC"/>
          </w:tcPr>
          <w:p>
            <w:pPr>
              <w:spacing w:after="0"/>
            </w:pPr>
            <w:r>
              <w:rPr>
                <w:rFonts w:ascii="Arial" w:hAnsi="Arial"/>
                <w:color w:val="0F172A"/>
                <w:sz w:val="17"/>
              </w:rPr>
              <w:t>65 / 100</w:t>
            </w:r>
          </w:p>
        </w:tc>
        <w:tc>
          <w:tcPr>
            <w:tcW w:type="dxa" w:w="3989"/>
            <w:vAlign w:val="center"/>
            <w:tcMar>
              <w:top w:w="80" w:type="dxa"/>
              <w:bottom w:w="80" w:type="dxa"/>
              <w:left w:w="120" w:type="dxa"/>
              <w:right w:w="120" w:type="dxa"/>
            </w:tcMar>
            <w:shd w:fill="F8FAFC"/>
          </w:tcPr>
          <w:p>
            <w:pPr>
              <w:spacing w:after="0"/>
            </w:pPr>
            <w:r>
              <w:rPr>
                <w:rFonts w:ascii="Arial" w:hAnsi="Arial"/>
                <w:color w:val="0F172A"/>
                <w:sz w:val="17"/>
              </w:rPr>
              <w:t>+30 Points — Increase local brand awareness and service visibility to elevate demand to 65/100.</w:t>
            </w:r>
          </w:p>
        </w:tc>
      </w:tr>
      <w:tr>
        <w:tc>
          <w:tcPr>
            <w:tcW w:type="dxa" w:w="2160"/>
            <w:vAlign w:val="center"/>
            <w:tcMar>
              <w:top w:w="80" w:type="dxa"/>
              <w:bottom w:w="80" w:type="dxa"/>
              <w:left w:w="120" w:type="dxa"/>
              <w:right w:w="120" w:type="dxa"/>
            </w:tcMar>
            <w:shd w:fill="FFFFFF"/>
          </w:tcPr>
          <w:p>
            <w:pPr>
              <w:spacing w:after="0"/>
            </w:pPr>
            <w:r>
              <w:rPr>
                <w:rFonts w:ascii="Arial" w:hAnsi="Arial"/>
                <w:color w:val="0F172A"/>
                <w:sz w:val="17"/>
              </w:rPr>
              <w:t>Daily Customer Footfall</w:t>
            </w:r>
          </w:p>
        </w:tc>
        <w:tc>
          <w:tcPr>
            <w:tcW w:type="dxa" w:w="1584"/>
            <w:vAlign w:val="center"/>
            <w:tcMar>
              <w:top w:w="80" w:type="dxa"/>
              <w:bottom w:w="80" w:type="dxa"/>
              <w:left w:w="120" w:type="dxa"/>
              <w:right w:w="120" w:type="dxa"/>
            </w:tcMar>
            <w:shd w:fill="FFFFFF"/>
          </w:tcPr>
          <w:p>
            <w:pPr>
              <w:spacing w:after="0"/>
            </w:pPr>
            <w:r>
              <w:rPr>
                <w:rFonts w:ascii="Arial" w:hAnsi="Arial"/>
                <w:color w:val="0F172A"/>
                <w:sz w:val="17"/>
              </w:rPr>
              <w:t>5 / Day</w:t>
            </w:r>
          </w:p>
        </w:tc>
        <w:tc>
          <w:tcPr>
            <w:tcW w:type="dxa" w:w="2016"/>
            <w:vAlign w:val="center"/>
            <w:tcMar>
              <w:top w:w="80" w:type="dxa"/>
              <w:bottom w:w="80" w:type="dxa"/>
              <w:left w:w="120" w:type="dxa"/>
              <w:right w:w="120" w:type="dxa"/>
            </w:tcMar>
            <w:shd w:fill="FFFFFF"/>
          </w:tcPr>
          <w:p>
            <w:pPr>
              <w:spacing w:after="0"/>
            </w:pPr>
            <w:r>
              <w:rPr>
                <w:rFonts w:ascii="Arial" w:hAnsi="Arial"/>
                <w:color w:val="0F172A"/>
                <w:sz w:val="17"/>
              </w:rPr>
              <w:t>13 / Day</w:t>
            </w:r>
          </w:p>
        </w:tc>
        <w:tc>
          <w:tcPr>
            <w:tcW w:type="dxa" w:w="3989"/>
            <w:vAlign w:val="center"/>
            <w:tcMar>
              <w:top w:w="80" w:type="dxa"/>
              <w:bottom w:w="80" w:type="dxa"/>
              <w:left w:w="120" w:type="dxa"/>
              <w:right w:w="120" w:type="dxa"/>
            </w:tcMar>
            <w:shd w:fill="FFFFFF"/>
          </w:tcPr>
          <w:p>
            <w:pPr>
              <w:spacing w:after="0"/>
            </w:pPr>
            <w:r>
              <w:rPr>
                <w:rFonts w:ascii="Arial" w:hAnsi="Arial"/>
                <w:color w:val="0F172A"/>
                <w:sz w:val="17"/>
              </w:rPr>
              <w:t>+8 Customers/Day — Ramp up appointment bookings and repeat client packages to achieve 13 clients daily.</w:t>
            </w:r>
          </w:p>
        </w:tc>
      </w:tr>
      <w:tr>
        <w:tc>
          <w:tcPr>
            <w:tcW w:type="dxa" w:w="2160"/>
            <w:vAlign w:val="center"/>
            <w:tcMar>
              <w:top w:w="80" w:type="dxa"/>
              <w:bottom w:w="80" w:type="dxa"/>
              <w:left w:w="120" w:type="dxa"/>
              <w:right w:w="120" w:type="dxa"/>
            </w:tcMar>
            <w:shd w:fill="F8FAFC"/>
          </w:tcPr>
          <w:p>
            <w:pPr>
              <w:spacing w:after="0"/>
            </w:pPr>
            <w:r>
              <w:rPr>
                <w:rFonts w:ascii="Arial" w:hAnsi="Arial"/>
                <w:color w:val="0F172A"/>
                <w:sz w:val="17"/>
              </w:rPr>
              <w:t>Equipment Readiness Score</w:t>
            </w:r>
          </w:p>
        </w:tc>
        <w:tc>
          <w:tcPr>
            <w:tcW w:type="dxa" w:w="1584"/>
            <w:vAlign w:val="center"/>
            <w:tcMar>
              <w:top w:w="80" w:type="dxa"/>
              <w:bottom w:w="80" w:type="dxa"/>
              <w:left w:w="120" w:type="dxa"/>
              <w:right w:w="120" w:type="dxa"/>
            </w:tcMar>
            <w:shd w:fill="F8FAFC"/>
          </w:tcPr>
          <w:p>
            <w:pPr>
              <w:spacing w:after="0"/>
            </w:pPr>
            <w:r>
              <w:rPr>
                <w:rFonts w:ascii="Arial" w:hAnsi="Arial"/>
                <w:color w:val="0F172A"/>
                <w:sz w:val="17"/>
              </w:rPr>
              <w:t>3 / 5</w:t>
            </w:r>
          </w:p>
        </w:tc>
        <w:tc>
          <w:tcPr>
            <w:tcW w:type="dxa" w:w="2016"/>
            <w:vAlign w:val="center"/>
            <w:tcMar>
              <w:top w:w="80" w:type="dxa"/>
              <w:bottom w:w="80" w:type="dxa"/>
              <w:left w:w="120" w:type="dxa"/>
              <w:right w:w="120" w:type="dxa"/>
            </w:tcMar>
            <w:shd w:fill="F8FAFC"/>
          </w:tcPr>
          <w:p>
            <w:pPr>
              <w:spacing w:after="0"/>
            </w:pPr>
            <w:r>
              <w:rPr>
                <w:rFonts w:ascii="Arial" w:hAnsi="Arial"/>
                <w:color w:val="0F172A"/>
                <w:sz w:val="17"/>
              </w:rPr>
              <w:t>4 / 5</w:t>
            </w:r>
          </w:p>
        </w:tc>
        <w:tc>
          <w:tcPr>
            <w:tcW w:type="dxa" w:w="3989"/>
            <w:vAlign w:val="center"/>
            <w:tcMar>
              <w:top w:w="80" w:type="dxa"/>
              <w:bottom w:w="80" w:type="dxa"/>
              <w:left w:w="120" w:type="dxa"/>
              <w:right w:w="120" w:type="dxa"/>
            </w:tcMar>
            <w:shd w:fill="F8FAFC"/>
          </w:tcPr>
          <w:p>
            <w:pPr>
              <w:spacing w:after="0"/>
            </w:pPr>
            <w:r>
              <w:rPr>
                <w:rFonts w:ascii="Arial" w:hAnsi="Arial"/>
                <w:color w:val="0F172A"/>
                <w:sz w:val="17"/>
              </w:rPr>
              <w:t>+1 Grade Points — Acquire professional-grade styling and sanitization equipment to reach score 4/5.</w:t>
            </w:r>
          </w:p>
        </w:tc>
      </w:tr>
    </w:tbl>
    <w:p>
      <w:pPr>
        <w:keepNext/>
        <w:spacing w:before="200" w:after="60"/>
      </w:pPr>
      <w:r>
        <w:rPr>
          <w:rFonts w:ascii="Arial" w:hAnsi="Arial"/>
          <w:b/>
          <w:color w:val="1E3A8A"/>
          <w:sz w:val="22"/>
        </w:rPr>
        <w:t>5.3 4-Phase Action Roadmap (Issue 2)</w:t>
      </w:r>
    </w:p>
    <w:p>
      <w:pPr>
        <w:keepNext/>
        <w:spacing w:before="140" w:after="40"/>
      </w:pPr>
      <w:r>
        <w:rPr>
          <w:rFonts w:ascii="Arial" w:hAnsi="Arial"/>
          <w:b/>
          <w:color w:val="0F172A"/>
          <w:sz w:val="20"/>
        </w:rPr>
        <w:t>Phase 1: Setup &amp; Launch (0–30 Days)</w:t>
      </w:r>
    </w:p>
    <w:p>
      <w:pPr>
        <w:pStyle w:val="ListBullet"/>
        <w:spacing w:after="60" w:line="269" w:lineRule="auto"/>
      </w:pPr>
      <w:r>
        <w:rPr>
          <w:rFonts w:ascii="Arial" w:hAnsi="Arial"/>
          <w:color w:val="0F172A"/>
          <w:sz w:val="19"/>
        </w:rPr>
        <w:t>Finalize Business Name registration for 'ASDF SALOON' at Gampaha Divisional Secretariat and submit trade licence application to the Local Council. (Owner: Founder / Owner | Target: Obtain statutory BR certificate and municipal permit within 21 days)</w:t>
      </w:r>
    </w:p>
    <w:p>
      <w:pPr>
        <w:pStyle w:val="ListBullet"/>
        <w:spacing w:after="60" w:line="269" w:lineRule="auto"/>
      </w:pPr>
      <w:r>
        <w:rPr>
          <w:rFonts w:ascii="Arial" w:hAnsi="Arial"/>
          <w:color w:val="0F172A"/>
          <w:sz w:val="19"/>
        </w:rPr>
        <w:t>Deploy Hybrid Digital model: configure social booking channels, appointment calendar, and local doorstep service radius in Gampaha. (Owner: Digital Operations Lead | Target: Generate 40% of first-month client bookings through online/WhatsApp channels)</w:t>
      </w:r>
    </w:p>
    <w:p>
      <w:pPr>
        <w:pStyle w:val="ListBullet"/>
        <w:spacing w:after="60" w:line="269" w:lineRule="auto"/>
      </w:pPr>
      <w:r>
        <w:rPr>
          <w:rFonts w:ascii="Arial" w:hAnsi="Arial"/>
          <w:color w:val="0F172A"/>
          <w:sz w:val="19"/>
        </w:rPr>
        <w:t>Complete salon interior fit-out (styling stations, mirrors, wash basin, hot water plumbing) and install professional UV/autoclave sterilizer. (Owner: Operations Lead | Target: Complete physical setup and safety verification within LKR budget)</w:t>
      </w:r>
    </w:p>
    <w:p>
      <w:pPr>
        <w:pStyle w:val="ListBullet"/>
        <w:spacing w:after="60" w:line="269" w:lineRule="auto"/>
      </w:pPr>
      <w:r>
        <w:rPr>
          <w:rFonts w:ascii="Arial" w:hAnsi="Arial"/>
          <w:color w:val="0F172A"/>
          <w:sz w:val="19"/>
        </w:rPr>
        <w:t>Procure certified hair, skin, and nail consumable stock directly from NMRA-compliant Sri Lankan beauty distributors with 30-day payment terms. (Owner: Head Stylist | Target: Stock 45-day opening inventory with zero counterfeit or uncertified products)</w:t>
      </w:r>
    </w:p>
    <w:p>
      <w:pPr>
        <w:keepNext/>
        <w:spacing w:before="140" w:after="40"/>
      </w:pPr>
      <w:r>
        <w:rPr>
          <w:rFonts w:ascii="Arial" w:hAnsi="Arial"/>
          <w:b/>
          <w:color w:val="0F172A"/>
          <w:sz w:val="20"/>
        </w:rPr>
        <w:t>Phase 2: Demand Stabilization (30–90 Days)</w:t>
      </w:r>
    </w:p>
    <w:p>
      <w:pPr>
        <w:pStyle w:val="ListBullet"/>
        <w:spacing w:after="60" w:line="269" w:lineRule="auto"/>
      </w:pPr>
      <w:r>
        <w:rPr>
          <w:rFonts w:ascii="Arial" w:hAnsi="Arial"/>
          <w:color w:val="0F172A"/>
          <w:sz w:val="19"/>
        </w:rPr>
        <w:t>Launch neighborhood introductory package promotions (e.g. 20% discount on combo hair + facial services) to ramp footfall toward 5 clients/day. (Owner: Marketing Coordinator | Target: Achieve steady daily volume of 5 clients with 35% repeat re-bookings)</w:t>
      </w:r>
    </w:p>
    <w:p>
      <w:pPr>
        <w:pStyle w:val="ListBullet"/>
        <w:spacing w:after="60" w:line="269" w:lineRule="auto"/>
      </w:pPr>
      <w:r>
        <w:rPr>
          <w:rFonts w:ascii="Arial" w:hAnsi="Arial"/>
          <w:color w:val="0F172A"/>
          <w:sz w:val="19"/>
        </w:rPr>
        <w:t>Implement weekly cash flow controls and enforce adherence to the LKR 70,000/month operating budget. (Owner: Founder / Owner | Target: Maintain positive operating margin without touching safety reserve)</w:t>
      </w:r>
    </w:p>
    <w:p>
      <w:pPr>
        <w:pStyle w:val="ListBullet"/>
        <w:spacing w:after="60" w:line="269" w:lineRule="auto"/>
      </w:pPr>
      <w:r>
        <w:rPr>
          <w:rFonts w:ascii="Arial" w:hAnsi="Arial"/>
          <w:color w:val="0F172A"/>
          <w:sz w:val="19"/>
        </w:rPr>
        <w:t>Introduce client consultation and patch-test logging cards to record chemical sensitivities, hair history, and service preferences. (Owner: Head Stylist | Target: 100% adherence to hygiene and skin safety standards)</w:t>
      </w:r>
    </w:p>
    <w:p>
      <w:pPr>
        <w:pStyle w:val="ListBullet"/>
        <w:spacing w:after="60" w:line="269" w:lineRule="auto"/>
      </w:pPr>
      <w:r>
        <w:rPr>
          <w:rFonts w:ascii="Arial" w:hAnsi="Arial"/>
          <w:color w:val="0F172A"/>
          <w:sz w:val="19"/>
        </w:rPr>
        <w:t>Begin local wedding vendor partnerships (photographers, saree drapers) to build a pipeline of bridal dressing bookings. (Owner: Founder / Owner | Target: Contract at least 3 upcoming bridal package bookings)</w:t>
      </w:r>
    </w:p>
    <w:p>
      <w:pPr>
        <w:keepNext/>
        <w:spacing w:before="140" w:after="40"/>
      </w:pPr>
      <w:r>
        <w:rPr>
          <w:rFonts w:ascii="Arial" w:hAnsi="Arial"/>
          <w:b/>
          <w:color w:val="0F172A"/>
          <w:sz w:val="20"/>
        </w:rPr>
        <w:t>Phase 3: Operational Optimization (3–6 Months)</w:t>
      </w:r>
    </w:p>
    <w:p>
      <w:pPr>
        <w:pStyle w:val="ListBullet"/>
        <w:spacing w:after="60" w:line="269" w:lineRule="auto"/>
      </w:pPr>
      <w:r>
        <w:rPr>
          <w:rFonts w:ascii="Arial" w:hAnsi="Arial"/>
          <w:color w:val="0F172A"/>
          <w:sz w:val="19"/>
        </w:rPr>
        <w:t>Conduct quarterly financial audit: review revenue per styling chair, average ticket size, and product consumption wastage. (Owner: Founder / Owner | Target: Lift average client spend from LKR 500 to LKR 625 via premium add-ons)</w:t>
      </w:r>
    </w:p>
    <w:p>
      <w:pPr>
        <w:pStyle w:val="ListBullet"/>
        <w:spacing w:after="60" w:line="269" w:lineRule="auto"/>
      </w:pPr>
      <w:r>
        <w:rPr>
          <w:rFonts w:ascii="Arial" w:hAnsi="Arial"/>
          <w:color w:val="0F172A"/>
          <w:sz w:val="19"/>
        </w:rPr>
        <w:t>Launch client VIP loyalty card scheme (e.g. 5th hair treatment complimentary) to solidify client retention against local substitutes. (Owner: Salon Supervisor | Target: Elevate 60-day client retention rate above 45%)</w:t>
      </w:r>
    </w:p>
    <w:p>
      <w:pPr>
        <w:pStyle w:val="ListBullet"/>
        <w:spacing w:after="60" w:line="269" w:lineRule="auto"/>
      </w:pPr>
      <w:r>
        <w:rPr>
          <w:rFonts w:ascii="Arial" w:hAnsi="Arial"/>
          <w:color w:val="0F172A"/>
          <w:sz w:val="19"/>
        </w:rPr>
        <w:t>Enroll styling staff in advanced bridal makeup and contemporary hair color technique workshops (NVQ Level 4 standards). (Owner: Head Stylist | Target: Upgrade staff service repertoire and qualify for high-margin bridal packages)</w:t>
      </w:r>
    </w:p>
    <w:p>
      <w:pPr>
        <w:pStyle w:val="ListBullet"/>
        <w:spacing w:after="60" w:line="269" w:lineRule="auto"/>
      </w:pPr>
      <w:r>
        <w:rPr>
          <w:rFonts w:ascii="Arial" w:hAnsi="Arial"/>
          <w:color w:val="0F172A"/>
          <w:sz w:val="19"/>
        </w:rPr>
        <w:t>Refine inventory reordering triggers for high-frequency hair serums and styling chemicals to minimize cash lock-up. (Owner: Operations Lead | Target: Reduce inventory holding cycle from 45 days to 25 days)</w:t>
      </w:r>
    </w:p>
    <w:p>
      <w:pPr>
        <w:keepNext/>
        <w:spacing w:before="140" w:after="40"/>
      </w:pPr>
      <w:r>
        <w:rPr>
          <w:rFonts w:ascii="Arial" w:hAnsi="Arial"/>
          <w:b/>
          <w:color w:val="0F172A"/>
          <w:sz w:val="20"/>
        </w:rPr>
        <w:t>Phase 4: Scaling &amp; Reinvestment (6–12 Months)</w:t>
      </w:r>
    </w:p>
    <w:p>
      <w:pPr>
        <w:pStyle w:val="ListBullet"/>
        <w:spacing w:after="60" w:line="269" w:lineRule="auto"/>
      </w:pPr>
      <w:r>
        <w:rPr>
          <w:rFonts w:ascii="Arial" w:hAnsi="Arial"/>
          <w:color w:val="0F172A"/>
          <w:sz w:val="19"/>
        </w:rPr>
        <w:t>Evaluate physical chair capacity and assess adding home-visit bridal services across neighboring suburbs in Gampaha. (Owner: Founder / Owner | Target: Generate 20% incremental revenue from premium mobile/bridal appointments)</w:t>
      </w:r>
    </w:p>
    <w:p>
      <w:pPr>
        <w:pStyle w:val="ListBullet"/>
        <w:spacing w:after="60" w:line="269" w:lineRule="auto"/>
      </w:pPr>
      <w:r>
        <w:rPr>
          <w:rFonts w:ascii="Arial" w:hAnsi="Arial"/>
          <w:color w:val="0F172A"/>
          <w:sz w:val="19"/>
        </w:rPr>
        <w:t>Re-run SME360 AI Feasibility Pipeline with empirical 12-month financials to benchmark profitability against Sri Lankan SME sector deciles. (Owner: Founder / Owner | Target: Transition model rating from Conditionally Feasible to robustly Feasible)</w:t>
      </w:r>
    </w:p>
    <w:p>
      <w:pPr>
        <w:pStyle w:val="ListBullet"/>
        <w:spacing w:after="60" w:line="269" w:lineRule="auto"/>
      </w:pPr>
      <w:r>
        <w:rPr>
          <w:rFonts w:ascii="Arial" w:hAnsi="Arial"/>
          <w:color w:val="0F172A"/>
          <w:sz w:val="19"/>
        </w:rPr>
        <w:t>Invest retained operating surplus into advanced aesthetic skincare equipment (e.g. galvanic / hydra facial unit). (Owner: Operations Lead | Target: Expand high-margin aesthetic menu tiers without incurring external bank debt)</w:t>
      </w:r>
    </w:p>
    <w:p>
      <w:r>
        <w:br w:type="page"/>
      </w:r>
    </w:p>
    <w:p>
      <w:pPr>
        <w:keepNext/>
        <w:spacing w:before="280" w:after="100"/>
      </w:pPr>
      <w:r>
        <w:rPr>
          <w:rFonts w:ascii="Arial" w:hAnsi="Arial"/>
          <w:b/>
          <w:color w:val="1E3A8A"/>
          <w:sz w:val="30"/>
        </w:rPr>
        <w:t>06 — Legal Compliance &amp; Risk Register</w:t>
      </w:r>
    </w:p>
    <w:p>
      <w:pPr>
        <w:keepNext/>
        <w:spacing w:before="200" w:after="60"/>
      </w:pPr>
      <w:r>
        <w:rPr>
          <w:rFonts w:ascii="Arial" w:hAnsi="Arial"/>
          <w:b/>
          <w:color w:val="1E3A8A"/>
          <w:sz w:val="22"/>
        </w:rPr>
        <w:t>6.1 Sri Lanka Statutory Compliance Checklist (Issue 16)</w:t>
      </w:r>
    </w:p>
    <w:tbl>
      <w:tblPr>
        <w:tblW w:type="auto" w:w="0"/>
        <w:jc w:val="center"/>
        <w:tblLook w:firstColumn="1" w:firstRow="1" w:lastColumn="0" w:lastRow="0" w:noHBand="0" w:noVBand="1" w:val="04A0"/>
      </w:tblPr>
      <w:tblGrid>
        <w:gridCol w:w="2437"/>
        <w:gridCol w:w="2437"/>
        <w:gridCol w:w="2437"/>
        <w:gridCol w:w="2437"/>
      </w:tblGrid>
      <w:tr>
        <w:tc>
          <w:tcPr>
            <w:tcW w:type="dxa" w:w="2592"/>
            <w:vAlign w:val="center"/>
            <w:tcMar>
              <w:top w:w="80" w:type="dxa"/>
              <w:bottom w:w="80" w:type="dxa"/>
              <w:left w:w="120" w:type="dxa"/>
              <w:right w:w="120" w:type="dxa"/>
            </w:tcMar>
            <w:shd w:fill="1E3A8A"/>
          </w:tcPr>
          <w:p>
            <w:pPr>
              <w:spacing w:after="0"/>
            </w:pPr>
            <w:r>
              <w:rPr>
                <w:rFonts w:ascii="Arial" w:hAnsi="Arial"/>
                <w:b/>
                <w:color w:val="FFFFFF"/>
                <w:sz w:val="17"/>
              </w:rPr>
              <w:t>Requirement</w:t>
            </w:r>
          </w:p>
        </w:tc>
        <w:tc>
          <w:tcPr>
            <w:tcW w:type="dxa" w:w="2304"/>
            <w:vAlign w:val="center"/>
            <w:tcMar>
              <w:top w:w="80" w:type="dxa"/>
              <w:bottom w:w="80" w:type="dxa"/>
              <w:left w:w="120" w:type="dxa"/>
              <w:right w:w="120" w:type="dxa"/>
            </w:tcMar>
            <w:shd w:fill="1E3A8A"/>
          </w:tcPr>
          <w:p>
            <w:pPr>
              <w:spacing w:after="0"/>
            </w:pPr>
            <w:r>
              <w:rPr>
                <w:rFonts w:ascii="Arial" w:hAnsi="Arial"/>
                <w:b/>
                <w:color w:val="FFFFFF"/>
                <w:sz w:val="17"/>
              </w:rPr>
              <w:t>Issuing Authority</w:t>
            </w:r>
          </w:p>
        </w:tc>
        <w:tc>
          <w:tcPr>
            <w:tcW w:type="dxa" w:w="1440"/>
            <w:vAlign w:val="center"/>
            <w:tcMar>
              <w:top w:w="80" w:type="dxa"/>
              <w:bottom w:w="80" w:type="dxa"/>
              <w:left w:w="120" w:type="dxa"/>
              <w:right w:w="120" w:type="dxa"/>
            </w:tcMar>
            <w:shd w:fill="1E3A8A"/>
          </w:tcPr>
          <w:p>
            <w:pPr>
              <w:spacing w:after="0"/>
            </w:pPr>
            <w:r>
              <w:rPr>
                <w:rFonts w:ascii="Arial" w:hAnsi="Arial"/>
                <w:b/>
                <w:color w:val="FFFFFF"/>
                <w:sz w:val="17"/>
              </w:rPr>
              <w:t>Status</w:t>
            </w:r>
          </w:p>
        </w:tc>
        <w:tc>
          <w:tcPr>
            <w:tcW w:type="dxa" w:w="3413"/>
            <w:vAlign w:val="center"/>
            <w:tcMar>
              <w:top w:w="80" w:type="dxa"/>
              <w:bottom w:w="80" w:type="dxa"/>
              <w:left w:w="120" w:type="dxa"/>
              <w:right w:w="120" w:type="dxa"/>
            </w:tcMar>
            <w:shd w:fill="1E3A8A"/>
          </w:tcPr>
          <w:p>
            <w:pPr>
              <w:spacing w:after="0"/>
            </w:pPr>
            <w:r>
              <w:rPr>
                <w:rFonts w:ascii="Arial" w:hAnsi="Arial"/>
                <w:b/>
                <w:color w:val="FFFFFF"/>
                <w:sz w:val="17"/>
              </w:rPr>
              <w:t>Compliance Notes</w:t>
            </w:r>
          </w:p>
        </w:tc>
      </w:tr>
      <w:tr>
        <w:tc>
          <w:tcPr>
            <w:tcW w:type="dxa" w:w="2592"/>
            <w:vAlign w:val="center"/>
            <w:tcMar>
              <w:top w:w="80" w:type="dxa"/>
              <w:bottom w:w="80" w:type="dxa"/>
              <w:left w:w="120" w:type="dxa"/>
              <w:right w:w="120" w:type="dxa"/>
            </w:tcMar>
            <w:shd w:fill="FFFFFF"/>
          </w:tcPr>
          <w:p>
            <w:pPr>
              <w:spacing w:after="0"/>
            </w:pPr>
            <w:r>
              <w:rPr>
                <w:rFonts w:ascii="Arial" w:hAnsi="Arial"/>
                <w:color w:val="0F172A"/>
                <w:sz w:val="17"/>
              </w:rPr>
              <w:t>Business Name Registration (Sole Proprietorship / Partnership)</w:t>
            </w:r>
          </w:p>
        </w:tc>
        <w:tc>
          <w:tcPr>
            <w:tcW w:type="dxa" w:w="2304"/>
            <w:vAlign w:val="center"/>
            <w:tcMar>
              <w:top w:w="80" w:type="dxa"/>
              <w:bottom w:w="80" w:type="dxa"/>
              <w:left w:w="120" w:type="dxa"/>
              <w:right w:w="120" w:type="dxa"/>
            </w:tcMar>
            <w:shd w:fill="FFFFFF"/>
          </w:tcPr>
          <w:p>
            <w:pPr>
              <w:spacing w:after="0"/>
            </w:pPr>
            <w:r>
              <w:rPr>
                <w:rFonts w:ascii="Arial" w:hAnsi="Arial"/>
                <w:color w:val="0F172A"/>
                <w:sz w:val="17"/>
              </w:rPr>
              <w:t>Divisional Secretariat (Gampaha)</w:t>
            </w:r>
          </w:p>
        </w:tc>
        <w:tc>
          <w:tcPr>
            <w:tcW w:type="dxa" w:w="1440"/>
            <w:vAlign w:val="center"/>
            <w:tcMar>
              <w:top w:w="80" w:type="dxa"/>
              <w:bottom w:w="80" w:type="dxa"/>
              <w:left w:w="120" w:type="dxa"/>
              <w:right w:w="120" w:type="dxa"/>
            </w:tcMar>
            <w:shd w:fill="FFFFFF"/>
          </w:tcPr>
          <w:p>
            <w:pPr>
              <w:spacing w:after="0"/>
            </w:pPr>
            <w:r>
              <w:rPr>
                <w:rFonts w:ascii="Arial" w:hAnsi="Arial"/>
                <w:color w:val="0F172A"/>
                <w:sz w:val="17"/>
              </w:rPr>
              <w:t>In Progress</w:t>
            </w:r>
          </w:p>
        </w:tc>
        <w:tc>
          <w:tcPr>
            <w:tcW w:type="dxa" w:w="3413"/>
            <w:vAlign w:val="center"/>
            <w:tcMar>
              <w:top w:w="80" w:type="dxa"/>
              <w:bottom w:w="80" w:type="dxa"/>
              <w:left w:w="120" w:type="dxa"/>
              <w:right w:w="120" w:type="dxa"/>
            </w:tcMar>
            <w:shd w:fill="FFFFFF"/>
          </w:tcPr>
          <w:p>
            <w:pPr>
              <w:spacing w:after="0"/>
            </w:pPr>
            <w:r>
              <w:rPr>
                <w:rFonts w:ascii="Arial" w:hAnsi="Arial"/>
                <w:color w:val="0F172A"/>
                <w:sz w:val="17"/>
              </w:rPr>
              <w:t>Register formal trade identity 'ASDF SALOON' to obtain formal BR certificate required for bank accounts.</w:t>
            </w:r>
          </w:p>
        </w:tc>
      </w:tr>
      <w:tr>
        <w:tc>
          <w:tcPr>
            <w:tcW w:type="dxa" w:w="2592"/>
            <w:vAlign w:val="center"/>
            <w:tcMar>
              <w:top w:w="80" w:type="dxa"/>
              <w:bottom w:w="80" w:type="dxa"/>
              <w:left w:w="120" w:type="dxa"/>
              <w:right w:w="120" w:type="dxa"/>
            </w:tcMar>
            <w:shd w:fill="F8FAFC"/>
          </w:tcPr>
          <w:p>
            <w:pPr>
              <w:spacing w:after="0"/>
            </w:pPr>
            <w:r>
              <w:rPr>
                <w:rFonts w:ascii="Arial" w:hAnsi="Arial"/>
                <w:color w:val="0F172A"/>
                <w:sz w:val="17"/>
              </w:rPr>
              <w:t>Local Authority Trade Licence / Environmental Clearance</w:t>
            </w:r>
          </w:p>
        </w:tc>
        <w:tc>
          <w:tcPr>
            <w:tcW w:type="dxa" w:w="2304"/>
            <w:vAlign w:val="center"/>
            <w:tcMar>
              <w:top w:w="80" w:type="dxa"/>
              <w:bottom w:w="80" w:type="dxa"/>
              <w:left w:w="120" w:type="dxa"/>
              <w:right w:w="120" w:type="dxa"/>
            </w:tcMar>
            <w:shd w:fill="F8FAFC"/>
          </w:tcPr>
          <w:p>
            <w:pPr>
              <w:spacing w:after="0"/>
            </w:pPr>
            <w:r>
              <w:rPr>
                <w:rFonts w:ascii="Arial" w:hAnsi="Arial"/>
                <w:color w:val="0F172A"/>
                <w:sz w:val="17"/>
              </w:rPr>
              <w:t>Municipal Council / Pradeshiya Sabha (Gampaha)</w:t>
            </w:r>
          </w:p>
        </w:tc>
        <w:tc>
          <w:tcPr>
            <w:tcW w:type="dxa" w:w="1440"/>
            <w:vAlign w:val="center"/>
            <w:tcMar>
              <w:top w:w="80" w:type="dxa"/>
              <w:bottom w:w="80" w:type="dxa"/>
              <w:left w:w="120" w:type="dxa"/>
              <w:right w:w="120" w:type="dxa"/>
            </w:tcMar>
            <w:shd w:fill="F8FAFC"/>
          </w:tcPr>
          <w:p>
            <w:pPr>
              <w:spacing w:after="0"/>
            </w:pPr>
            <w:r>
              <w:rPr>
                <w:rFonts w:ascii="Arial" w:hAnsi="Arial"/>
                <w:color w:val="0F172A"/>
                <w:sz w:val="17"/>
              </w:rPr>
              <w:t>Not Started</w:t>
            </w:r>
          </w:p>
        </w:tc>
        <w:tc>
          <w:tcPr>
            <w:tcW w:type="dxa" w:w="3413"/>
            <w:vAlign w:val="center"/>
            <w:tcMar>
              <w:top w:w="80" w:type="dxa"/>
              <w:bottom w:w="80" w:type="dxa"/>
              <w:left w:w="120" w:type="dxa"/>
              <w:right w:w="120" w:type="dxa"/>
            </w:tcMar>
            <w:shd w:fill="F8FAFC"/>
          </w:tcPr>
          <w:p>
            <w:pPr>
              <w:spacing w:after="0"/>
            </w:pPr>
            <w:r>
              <w:rPr>
                <w:rFonts w:ascii="Arial" w:hAnsi="Arial"/>
                <w:color w:val="0F172A"/>
                <w:sz w:val="17"/>
              </w:rPr>
              <w:t>Annual municipal operating licence verifying premise commercial zoning, waste disposal, and safety.</w:t>
            </w:r>
          </w:p>
        </w:tc>
      </w:tr>
      <w:tr>
        <w:tc>
          <w:tcPr>
            <w:tcW w:type="dxa" w:w="2592"/>
            <w:vAlign w:val="center"/>
            <w:tcMar>
              <w:top w:w="80" w:type="dxa"/>
              <w:bottom w:w="80" w:type="dxa"/>
              <w:left w:w="120" w:type="dxa"/>
              <w:right w:w="120" w:type="dxa"/>
            </w:tcMar>
            <w:shd w:fill="FFFFFF"/>
          </w:tcPr>
          <w:p>
            <w:pPr>
              <w:spacing w:after="0"/>
            </w:pPr>
            <w:r>
              <w:rPr>
                <w:rFonts w:ascii="Arial" w:hAnsi="Arial"/>
                <w:color w:val="0F172A"/>
                <w:sz w:val="17"/>
              </w:rPr>
              <w:t>Taxpayer Identification Number (TIN) Registration</w:t>
            </w:r>
          </w:p>
        </w:tc>
        <w:tc>
          <w:tcPr>
            <w:tcW w:type="dxa" w:w="2304"/>
            <w:vAlign w:val="center"/>
            <w:tcMar>
              <w:top w:w="80" w:type="dxa"/>
              <w:bottom w:w="80" w:type="dxa"/>
              <w:left w:w="120" w:type="dxa"/>
              <w:right w:w="120" w:type="dxa"/>
            </w:tcMar>
            <w:shd w:fill="FFFFFF"/>
          </w:tcPr>
          <w:p>
            <w:pPr>
              <w:spacing w:after="0"/>
            </w:pPr>
            <w:r>
              <w:rPr>
                <w:rFonts w:ascii="Arial" w:hAnsi="Arial"/>
                <w:color w:val="0F172A"/>
                <w:sz w:val="17"/>
              </w:rPr>
              <w:t>Inland Revenue Department (IRD)</w:t>
            </w:r>
          </w:p>
        </w:tc>
        <w:tc>
          <w:tcPr>
            <w:tcW w:type="dxa" w:w="1440"/>
            <w:vAlign w:val="center"/>
            <w:tcMar>
              <w:top w:w="80" w:type="dxa"/>
              <w:bottom w:w="80" w:type="dxa"/>
              <w:left w:w="120" w:type="dxa"/>
              <w:right w:w="120" w:type="dxa"/>
            </w:tcMar>
            <w:shd w:fill="FFFFFF"/>
          </w:tcPr>
          <w:p>
            <w:pPr>
              <w:spacing w:after="0"/>
            </w:pPr>
            <w:r>
              <w:rPr>
                <w:rFonts w:ascii="Arial" w:hAnsi="Arial"/>
                <w:color w:val="0F172A"/>
                <w:sz w:val="17"/>
              </w:rPr>
              <w:t>In Progress</w:t>
            </w:r>
          </w:p>
        </w:tc>
        <w:tc>
          <w:tcPr>
            <w:tcW w:type="dxa" w:w="3413"/>
            <w:vAlign w:val="center"/>
            <w:tcMar>
              <w:top w:w="80" w:type="dxa"/>
              <w:bottom w:w="80" w:type="dxa"/>
              <w:left w:w="120" w:type="dxa"/>
              <w:right w:w="120" w:type="dxa"/>
            </w:tcMar>
            <w:shd w:fill="FFFFFF"/>
          </w:tcPr>
          <w:p>
            <w:pPr>
              <w:spacing w:after="0"/>
            </w:pPr>
            <w:r>
              <w:rPr>
                <w:rFonts w:ascii="Arial" w:hAnsi="Arial"/>
                <w:color w:val="0F172A"/>
                <w:sz w:val="17"/>
              </w:rPr>
              <w:t>Mandatory national tax registration for enterprise entity and commercial utility connections.</w:t>
            </w:r>
          </w:p>
        </w:tc>
      </w:tr>
      <w:tr>
        <w:tc>
          <w:tcPr>
            <w:tcW w:type="dxa" w:w="2592"/>
            <w:vAlign w:val="center"/>
            <w:tcMar>
              <w:top w:w="80" w:type="dxa"/>
              <w:bottom w:w="80" w:type="dxa"/>
              <w:left w:w="120" w:type="dxa"/>
              <w:right w:w="120" w:type="dxa"/>
            </w:tcMar>
            <w:shd w:fill="F8FAFC"/>
          </w:tcPr>
          <w:p>
            <w:pPr>
              <w:spacing w:after="0"/>
            </w:pPr>
            <w:r>
              <w:rPr>
                <w:rFonts w:ascii="Arial" w:hAnsi="Arial"/>
                <w:color w:val="0F172A"/>
                <w:sz w:val="17"/>
              </w:rPr>
              <w:t>EPF / ETF Employer Registration for Employees</w:t>
            </w:r>
          </w:p>
        </w:tc>
        <w:tc>
          <w:tcPr>
            <w:tcW w:type="dxa" w:w="2304"/>
            <w:vAlign w:val="center"/>
            <w:tcMar>
              <w:top w:w="80" w:type="dxa"/>
              <w:bottom w:w="80" w:type="dxa"/>
              <w:left w:w="120" w:type="dxa"/>
              <w:right w:w="120" w:type="dxa"/>
            </w:tcMar>
            <w:shd w:fill="F8FAFC"/>
          </w:tcPr>
          <w:p>
            <w:pPr>
              <w:spacing w:after="0"/>
            </w:pPr>
            <w:r>
              <w:rPr>
                <w:rFonts w:ascii="Arial" w:hAnsi="Arial"/>
                <w:color w:val="0F172A"/>
                <w:sz w:val="17"/>
              </w:rPr>
              <w:t>Department of Labour &amp; Central Bank of Sri Lanka</w:t>
            </w:r>
          </w:p>
        </w:tc>
        <w:tc>
          <w:tcPr>
            <w:tcW w:type="dxa" w:w="1440"/>
            <w:vAlign w:val="center"/>
            <w:tcMar>
              <w:top w:w="80" w:type="dxa"/>
              <w:bottom w:w="80" w:type="dxa"/>
              <w:left w:w="120" w:type="dxa"/>
              <w:right w:w="120" w:type="dxa"/>
            </w:tcMar>
            <w:shd w:fill="F8FAFC"/>
          </w:tcPr>
          <w:p>
            <w:pPr>
              <w:spacing w:after="0"/>
            </w:pPr>
            <w:r>
              <w:rPr>
                <w:rFonts w:ascii="Arial" w:hAnsi="Arial"/>
                <w:color w:val="0F172A"/>
                <w:sz w:val="17"/>
              </w:rPr>
              <w:t>Not Started</w:t>
            </w:r>
          </w:p>
        </w:tc>
        <w:tc>
          <w:tcPr>
            <w:tcW w:type="dxa" w:w="3413"/>
            <w:vAlign w:val="center"/>
            <w:tcMar>
              <w:top w:w="80" w:type="dxa"/>
              <w:bottom w:w="80" w:type="dxa"/>
              <w:left w:w="120" w:type="dxa"/>
              <w:right w:w="120" w:type="dxa"/>
            </w:tcMar>
            <w:shd w:fill="F8FAFC"/>
          </w:tcPr>
          <w:p>
            <w:pPr>
              <w:spacing w:after="0"/>
            </w:pPr>
            <w:r>
              <w:rPr>
                <w:rFonts w:ascii="Arial" w:hAnsi="Arial"/>
                <w:color w:val="0F172A"/>
                <w:sz w:val="17"/>
              </w:rPr>
              <w:t>Mandatory enrollment for all permanent staff (12% Employer + 8% Employee EPF; 3% Employer ETF).</w:t>
            </w:r>
          </w:p>
        </w:tc>
      </w:tr>
      <w:tr>
        <w:tc>
          <w:tcPr>
            <w:tcW w:type="dxa" w:w="2592"/>
            <w:vAlign w:val="center"/>
            <w:tcMar>
              <w:top w:w="80" w:type="dxa"/>
              <w:bottom w:w="80" w:type="dxa"/>
              <w:left w:w="120" w:type="dxa"/>
              <w:right w:w="120" w:type="dxa"/>
            </w:tcMar>
            <w:shd w:fill="FFFFFF"/>
          </w:tcPr>
          <w:p>
            <w:pPr>
              <w:spacing w:after="0"/>
            </w:pPr>
            <w:r>
              <w:rPr>
                <w:rFonts w:ascii="Arial" w:hAnsi="Arial"/>
                <w:color w:val="0F172A"/>
                <w:sz w:val="17"/>
              </w:rPr>
              <w:t>Cosmetic Product Compliance &amp; Salon Health Clearance</w:t>
            </w:r>
          </w:p>
        </w:tc>
        <w:tc>
          <w:tcPr>
            <w:tcW w:type="dxa" w:w="2304"/>
            <w:vAlign w:val="center"/>
            <w:tcMar>
              <w:top w:w="80" w:type="dxa"/>
              <w:bottom w:w="80" w:type="dxa"/>
              <w:left w:w="120" w:type="dxa"/>
              <w:right w:w="120" w:type="dxa"/>
            </w:tcMar>
            <w:shd w:fill="FFFFFF"/>
          </w:tcPr>
          <w:p>
            <w:pPr>
              <w:spacing w:after="0"/>
            </w:pPr>
            <w:r>
              <w:rPr>
                <w:rFonts w:ascii="Arial" w:hAnsi="Arial"/>
                <w:color w:val="0F172A"/>
                <w:sz w:val="17"/>
              </w:rPr>
              <w:t>Public Health Department &amp; NMRA (Gampaha)</w:t>
            </w:r>
          </w:p>
        </w:tc>
        <w:tc>
          <w:tcPr>
            <w:tcW w:type="dxa" w:w="1440"/>
            <w:vAlign w:val="center"/>
            <w:tcMar>
              <w:top w:w="80" w:type="dxa"/>
              <w:bottom w:w="80" w:type="dxa"/>
              <w:left w:w="120" w:type="dxa"/>
              <w:right w:w="120" w:type="dxa"/>
            </w:tcMar>
            <w:shd w:fill="FFFFFF"/>
          </w:tcPr>
          <w:p>
            <w:pPr>
              <w:spacing w:after="0"/>
            </w:pPr>
            <w:r>
              <w:rPr>
                <w:rFonts w:ascii="Arial" w:hAnsi="Arial"/>
                <w:color w:val="0F172A"/>
                <w:sz w:val="17"/>
              </w:rPr>
              <w:t>Not Started</w:t>
            </w:r>
          </w:p>
        </w:tc>
        <w:tc>
          <w:tcPr>
            <w:tcW w:type="dxa" w:w="3413"/>
            <w:vAlign w:val="center"/>
            <w:tcMar>
              <w:top w:w="80" w:type="dxa"/>
              <w:bottom w:w="80" w:type="dxa"/>
              <w:left w:w="120" w:type="dxa"/>
              <w:right w:w="120" w:type="dxa"/>
            </w:tcMar>
            <w:shd w:fill="FFFFFF"/>
          </w:tcPr>
          <w:p>
            <w:pPr>
              <w:spacing w:after="0"/>
            </w:pPr>
            <w:r>
              <w:rPr>
                <w:rFonts w:ascii="Arial" w:hAnsi="Arial"/>
                <w:color w:val="0F172A"/>
                <w:sz w:val="17"/>
              </w:rPr>
              <w:t>Verify all chemical hair colors, bleaching reagents, and skincare items are NMRA-approved.</w:t>
            </w:r>
          </w:p>
        </w:tc>
      </w:tr>
    </w:tbl>
    <w:p>
      <w:pPr>
        <w:keepNext/>
        <w:spacing w:before="200" w:after="60"/>
      </w:pPr>
      <w:r>
        <w:rPr>
          <w:rFonts w:ascii="Arial" w:hAnsi="Arial"/>
          <w:b/>
          <w:color w:val="1E3A8A"/>
          <w:sz w:val="22"/>
        </w:rPr>
        <w:t>6.2 Enterprise Risk Register (Issue 17)</w:t>
      </w:r>
    </w:p>
    <w:tbl>
      <w:tblPr>
        <w:tblW w:type="auto" w:w="0"/>
        <w:jc w:val="center"/>
        <w:tblLook w:firstColumn="1" w:firstRow="1" w:lastColumn="0" w:lastRow="0" w:noHBand="0" w:noVBand="1" w:val="04A0"/>
      </w:tblPr>
      <w:tblGrid>
        <w:gridCol w:w="2437"/>
        <w:gridCol w:w="2437"/>
        <w:gridCol w:w="2437"/>
        <w:gridCol w:w="2437"/>
      </w:tblGrid>
      <w:tr>
        <w:tc>
          <w:tcPr>
            <w:tcW w:type="dxa" w:w="2592"/>
            <w:vAlign w:val="center"/>
            <w:tcMar>
              <w:top w:w="80" w:type="dxa"/>
              <w:bottom w:w="80" w:type="dxa"/>
              <w:left w:w="120" w:type="dxa"/>
              <w:right w:w="120" w:type="dxa"/>
            </w:tcMar>
            <w:shd w:fill="1E3A8A"/>
          </w:tcPr>
          <w:p>
            <w:pPr>
              <w:spacing w:after="0"/>
            </w:pPr>
            <w:r>
              <w:rPr>
                <w:rFonts w:ascii="Arial" w:hAnsi="Arial"/>
                <w:b/>
                <w:color w:val="FFFFFF"/>
                <w:sz w:val="17"/>
              </w:rPr>
              <w:t>Risk Description</w:t>
            </w:r>
          </w:p>
        </w:tc>
        <w:tc>
          <w:tcPr>
            <w:tcW w:type="dxa" w:w="1296"/>
            <w:vAlign w:val="center"/>
            <w:tcMar>
              <w:top w:w="80" w:type="dxa"/>
              <w:bottom w:w="80" w:type="dxa"/>
              <w:left w:w="120" w:type="dxa"/>
              <w:right w:w="120" w:type="dxa"/>
            </w:tcMar>
            <w:shd w:fill="1E3A8A"/>
          </w:tcPr>
          <w:p>
            <w:pPr>
              <w:spacing w:after="0"/>
            </w:pPr>
            <w:r>
              <w:rPr>
                <w:rFonts w:ascii="Arial" w:hAnsi="Arial"/>
                <w:b/>
                <w:color w:val="FFFFFF"/>
                <w:sz w:val="17"/>
              </w:rPr>
              <w:t>Impact</w:t>
            </w:r>
          </w:p>
        </w:tc>
        <w:tc>
          <w:tcPr>
            <w:tcW w:type="dxa" w:w="4133"/>
            <w:vAlign w:val="center"/>
            <w:tcMar>
              <w:top w:w="80" w:type="dxa"/>
              <w:bottom w:w="80" w:type="dxa"/>
              <w:left w:w="120" w:type="dxa"/>
              <w:right w:w="120" w:type="dxa"/>
            </w:tcMar>
            <w:shd w:fill="1E3A8A"/>
          </w:tcPr>
          <w:p>
            <w:pPr>
              <w:spacing w:after="0"/>
            </w:pPr>
            <w:r>
              <w:rPr>
                <w:rFonts w:ascii="Arial" w:hAnsi="Arial"/>
                <w:b/>
                <w:color w:val="FFFFFF"/>
                <w:sz w:val="17"/>
              </w:rPr>
              <w:t>Mitigation Action Protocol</w:t>
            </w:r>
          </w:p>
        </w:tc>
        <w:tc>
          <w:tcPr>
            <w:tcW w:type="dxa" w:w="1728"/>
            <w:vAlign w:val="center"/>
            <w:tcMar>
              <w:top w:w="80" w:type="dxa"/>
              <w:bottom w:w="80" w:type="dxa"/>
              <w:left w:w="120" w:type="dxa"/>
              <w:right w:w="120" w:type="dxa"/>
            </w:tcMar>
            <w:shd w:fill="1E3A8A"/>
          </w:tcPr>
          <w:p>
            <w:pPr>
              <w:spacing w:after="0"/>
            </w:pPr>
            <w:r>
              <w:rPr>
                <w:rFonts w:ascii="Arial" w:hAnsi="Arial"/>
                <w:b/>
                <w:color w:val="FFFFFF"/>
                <w:sz w:val="17"/>
              </w:rPr>
              <w:t>Owner</w:t>
            </w:r>
          </w:p>
        </w:tc>
      </w:tr>
      <w:tr>
        <w:tc>
          <w:tcPr>
            <w:tcW w:type="dxa" w:w="2592"/>
            <w:vAlign w:val="center"/>
            <w:tcMar>
              <w:top w:w="80" w:type="dxa"/>
              <w:bottom w:w="80" w:type="dxa"/>
              <w:left w:w="120" w:type="dxa"/>
              <w:right w:w="120" w:type="dxa"/>
            </w:tcMar>
            <w:shd w:fill="FFFFFF"/>
          </w:tcPr>
          <w:p>
            <w:pPr>
              <w:spacing w:after="0"/>
            </w:pPr>
            <w:r>
              <w:rPr>
                <w:rFonts w:ascii="Arial" w:hAnsi="Arial"/>
                <w:color w:val="0F172A"/>
                <w:sz w:val="17"/>
              </w:rPr>
              <w:t>Working Capital Cash Squeeze</w:t>
            </w:r>
          </w:p>
        </w:tc>
        <w:tc>
          <w:tcPr>
            <w:tcW w:type="dxa" w:w="1296"/>
            <w:vAlign w:val="center"/>
            <w:tcMar>
              <w:top w:w="80" w:type="dxa"/>
              <w:bottom w:w="80" w:type="dxa"/>
              <w:left w:w="120" w:type="dxa"/>
              <w:right w:w="120" w:type="dxa"/>
            </w:tcMar>
            <w:shd w:fill="FFFFFF"/>
          </w:tcPr>
          <w:p>
            <w:pPr>
              <w:spacing w:after="0"/>
            </w:pPr>
            <w:r>
              <w:rPr>
                <w:rFonts w:ascii="Arial" w:hAnsi="Arial"/>
                <w:color w:val="0F172A"/>
                <w:sz w:val="17"/>
              </w:rPr>
              <w:t>High</w:t>
            </w:r>
          </w:p>
        </w:tc>
        <w:tc>
          <w:tcPr>
            <w:tcW w:type="dxa" w:w="4133"/>
            <w:vAlign w:val="center"/>
            <w:tcMar>
              <w:top w:w="80" w:type="dxa"/>
              <w:bottom w:w="80" w:type="dxa"/>
              <w:left w:w="120" w:type="dxa"/>
              <w:right w:w="120" w:type="dxa"/>
            </w:tcMar>
            <w:shd w:fill="FFFFFF"/>
          </w:tcPr>
          <w:p>
            <w:pPr>
              <w:spacing w:after="0"/>
            </w:pPr>
            <w:r>
              <w:rPr>
                <w:rFonts w:ascii="Arial" w:hAnsi="Arial"/>
                <w:color w:val="0F172A"/>
                <w:sz w:val="17"/>
              </w:rPr>
              <w:t>Enforce weekly cash flow audits, maintain a minimum 3-month operating reserve, and avoid advance inventory over-ordering.</w:t>
            </w:r>
          </w:p>
        </w:tc>
        <w:tc>
          <w:tcPr>
            <w:tcW w:type="dxa" w:w="1728"/>
            <w:vAlign w:val="center"/>
            <w:tcMar>
              <w:top w:w="80" w:type="dxa"/>
              <w:bottom w:w="80" w:type="dxa"/>
              <w:left w:w="120" w:type="dxa"/>
              <w:right w:w="120" w:type="dxa"/>
            </w:tcMar>
            <w:shd w:fill="FFFFFF"/>
          </w:tcPr>
          <w:p>
            <w:pPr>
              <w:spacing w:after="0"/>
            </w:pPr>
            <w:r>
              <w:rPr>
                <w:rFonts w:ascii="Arial" w:hAnsi="Arial"/>
                <w:color w:val="0F172A"/>
                <w:sz w:val="17"/>
              </w:rPr>
              <w:t>Founder / Owner</w:t>
            </w:r>
          </w:p>
        </w:tc>
      </w:tr>
      <w:tr>
        <w:tc>
          <w:tcPr>
            <w:tcW w:type="dxa" w:w="2592"/>
            <w:vAlign w:val="center"/>
            <w:tcMar>
              <w:top w:w="80" w:type="dxa"/>
              <w:bottom w:w="80" w:type="dxa"/>
              <w:left w:w="120" w:type="dxa"/>
              <w:right w:w="120" w:type="dxa"/>
            </w:tcMar>
            <w:shd w:fill="F8FAFC"/>
          </w:tcPr>
          <w:p>
            <w:pPr>
              <w:spacing w:after="0"/>
            </w:pPr>
            <w:r>
              <w:rPr>
                <w:rFonts w:ascii="Arial" w:hAnsi="Arial"/>
                <w:color w:val="0F172A"/>
                <w:sz w:val="17"/>
              </w:rPr>
              <w:t>Key Staff Turnover &amp; Attendance Gaps</w:t>
            </w:r>
          </w:p>
        </w:tc>
        <w:tc>
          <w:tcPr>
            <w:tcW w:type="dxa" w:w="1296"/>
            <w:vAlign w:val="center"/>
            <w:tcMar>
              <w:top w:w="80" w:type="dxa"/>
              <w:bottom w:w="80" w:type="dxa"/>
              <w:left w:w="120" w:type="dxa"/>
              <w:right w:w="120" w:type="dxa"/>
            </w:tcMar>
            <w:shd w:fill="F8FAFC"/>
          </w:tcPr>
          <w:p>
            <w:pPr>
              <w:spacing w:after="0"/>
            </w:pPr>
            <w:r>
              <w:rPr>
                <w:rFonts w:ascii="Arial" w:hAnsi="Arial"/>
                <w:color w:val="0F172A"/>
                <w:sz w:val="17"/>
              </w:rPr>
              <w:t>Moderate</w:t>
            </w:r>
          </w:p>
        </w:tc>
        <w:tc>
          <w:tcPr>
            <w:tcW w:type="dxa" w:w="4133"/>
            <w:vAlign w:val="center"/>
            <w:tcMar>
              <w:top w:w="80" w:type="dxa"/>
              <w:bottom w:w="80" w:type="dxa"/>
              <w:left w:w="120" w:type="dxa"/>
              <w:right w:w="120" w:type="dxa"/>
            </w:tcMar>
            <w:shd w:fill="F8FAFC"/>
          </w:tcPr>
          <w:p>
            <w:pPr>
              <w:spacing w:after="0"/>
            </w:pPr>
            <w:r>
              <w:rPr>
                <w:rFonts w:ascii="Arial" w:hAnsi="Arial"/>
                <w:color w:val="0F172A"/>
                <w:sz w:val="17"/>
              </w:rPr>
              <w:t>Institute standard operating procedure (SOP) cross-training, attractive performance incentives, and flexible shift rosters.</w:t>
            </w:r>
          </w:p>
        </w:tc>
        <w:tc>
          <w:tcPr>
            <w:tcW w:type="dxa" w:w="1728"/>
            <w:vAlign w:val="center"/>
            <w:tcMar>
              <w:top w:w="80" w:type="dxa"/>
              <w:bottom w:w="80" w:type="dxa"/>
              <w:left w:w="120" w:type="dxa"/>
              <w:right w:w="120" w:type="dxa"/>
            </w:tcMar>
            <w:shd w:fill="F8FAFC"/>
          </w:tcPr>
          <w:p>
            <w:pPr>
              <w:spacing w:after="0"/>
            </w:pPr>
            <w:r>
              <w:rPr>
                <w:rFonts w:ascii="Arial" w:hAnsi="Arial"/>
                <w:color w:val="0F172A"/>
                <w:sz w:val="17"/>
              </w:rPr>
              <w:t>Manager / Lead</w:t>
            </w:r>
          </w:p>
        </w:tc>
      </w:tr>
      <w:tr>
        <w:tc>
          <w:tcPr>
            <w:tcW w:type="dxa" w:w="2592"/>
            <w:vAlign w:val="center"/>
            <w:tcMar>
              <w:top w:w="80" w:type="dxa"/>
              <w:bottom w:w="80" w:type="dxa"/>
              <w:left w:w="120" w:type="dxa"/>
              <w:right w:w="120" w:type="dxa"/>
            </w:tcMar>
            <w:shd w:fill="FFFFFF"/>
          </w:tcPr>
          <w:p>
            <w:pPr>
              <w:spacing w:after="0"/>
            </w:pPr>
            <w:r>
              <w:rPr>
                <w:rFonts w:ascii="Arial" w:hAnsi="Arial"/>
                <w:color w:val="0F172A"/>
                <w:sz w:val="17"/>
              </w:rPr>
              <w:t>Client Service Dissatisfaction &amp; Skin/Hair Reactions</w:t>
            </w:r>
          </w:p>
        </w:tc>
        <w:tc>
          <w:tcPr>
            <w:tcW w:type="dxa" w:w="1296"/>
            <w:vAlign w:val="center"/>
            <w:tcMar>
              <w:top w:w="80" w:type="dxa"/>
              <w:bottom w:w="80" w:type="dxa"/>
              <w:left w:w="120" w:type="dxa"/>
              <w:right w:w="120" w:type="dxa"/>
            </w:tcMar>
            <w:shd w:fill="FFFFFF"/>
          </w:tcPr>
          <w:p>
            <w:pPr>
              <w:spacing w:after="0"/>
            </w:pPr>
            <w:r>
              <w:rPr>
                <w:rFonts w:ascii="Arial" w:hAnsi="Arial"/>
                <w:color w:val="0F172A"/>
                <w:sz w:val="17"/>
              </w:rPr>
              <w:t>High</w:t>
            </w:r>
          </w:p>
        </w:tc>
        <w:tc>
          <w:tcPr>
            <w:tcW w:type="dxa" w:w="4133"/>
            <w:vAlign w:val="center"/>
            <w:tcMar>
              <w:top w:w="80" w:type="dxa"/>
              <w:bottom w:w="80" w:type="dxa"/>
              <w:left w:w="120" w:type="dxa"/>
              <w:right w:w="120" w:type="dxa"/>
            </w:tcMar>
            <w:shd w:fill="FFFFFF"/>
          </w:tcPr>
          <w:p>
            <w:pPr>
              <w:spacing w:after="0"/>
            </w:pPr>
            <w:r>
              <w:rPr>
                <w:rFonts w:ascii="Arial" w:hAnsi="Arial"/>
                <w:color w:val="0F172A"/>
                <w:sz w:val="17"/>
              </w:rPr>
              <w:t>Mandatory 24-hour patch test for chemical hair color/treatments; thorough pre-service client consultation cards.</w:t>
            </w:r>
          </w:p>
        </w:tc>
        <w:tc>
          <w:tcPr>
            <w:tcW w:type="dxa" w:w="1728"/>
            <w:vAlign w:val="center"/>
            <w:tcMar>
              <w:top w:w="80" w:type="dxa"/>
              <w:bottom w:w="80" w:type="dxa"/>
              <w:left w:w="120" w:type="dxa"/>
              <w:right w:w="120" w:type="dxa"/>
            </w:tcMar>
            <w:shd w:fill="FFFFFF"/>
          </w:tcPr>
          <w:p>
            <w:pPr>
              <w:spacing w:after="0"/>
            </w:pPr>
            <w:r>
              <w:rPr>
                <w:rFonts w:ascii="Arial" w:hAnsi="Arial"/>
                <w:color w:val="0F172A"/>
                <w:sz w:val="17"/>
              </w:rPr>
              <w:t>Head Stylist</w:t>
            </w:r>
          </w:p>
        </w:tc>
      </w:tr>
      <w:tr>
        <w:tc>
          <w:tcPr>
            <w:tcW w:type="dxa" w:w="2592"/>
            <w:vAlign w:val="center"/>
            <w:tcMar>
              <w:top w:w="80" w:type="dxa"/>
              <w:bottom w:w="80" w:type="dxa"/>
              <w:left w:w="120" w:type="dxa"/>
              <w:right w:w="120" w:type="dxa"/>
            </w:tcMar>
            <w:shd w:fill="F8FAFC"/>
          </w:tcPr>
          <w:p>
            <w:pPr>
              <w:spacing w:after="0"/>
            </w:pPr>
            <w:r>
              <w:rPr>
                <w:rFonts w:ascii="Arial" w:hAnsi="Arial"/>
                <w:color w:val="0F172A"/>
                <w:sz w:val="17"/>
              </w:rPr>
              <w:t>Equipment Breakdown (Chairs, Steamers, Blow-Dryers)</w:t>
            </w:r>
          </w:p>
        </w:tc>
        <w:tc>
          <w:tcPr>
            <w:tcW w:type="dxa" w:w="1296"/>
            <w:vAlign w:val="center"/>
            <w:tcMar>
              <w:top w:w="80" w:type="dxa"/>
              <w:bottom w:w="80" w:type="dxa"/>
              <w:left w:w="120" w:type="dxa"/>
              <w:right w:w="120" w:type="dxa"/>
            </w:tcMar>
            <w:shd w:fill="F8FAFC"/>
          </w:tcPr>
          <w:p>
            <w:pPr>
              <w:spacing w:after="0"/>
            </w:pPr>
            <w:r>
              <w:rPr>
                <w:rFonts w:ascii="Arial" w:hAnsi="Arial"/>
                <w:color w:val="0F172A"/>
                <w:sz w:val="17"/>
              </w:rPr>
              <w:t>Moderate</w:t>
            </w:r>
          </w:p>
        </w:tc>
        <w:tc>
          <w:tcPr>
            <w:tcW w:type="dxa" w:w="4133"/>
            <w:vAlign w:val="center"/>
            <w:tcMar>
              <w:top w:w="80" w:type="dxa"/>
              <w:bottom w:w="80" w:type="dxa"/>
              <w:left w:w="120" w:type="dxa"/>
              <w:right w:w="120" w:type="dxa"/>
            </w:tcMar>
            <w:shd w:fill="F8FAFC"/>
          </w:tcPr>
          <w:p>
            <w:pPr>
              <w:spacing w:after="0"/>
            </w:pPr>
            <w:r>
              <w:rPr>
                <w:rFonts w:ascii="Arial" w:hAnsi="Arial"/>
                <w:color w:val="0F172A"/>
                <w:sz w:val="17"/>
              </w:rPr>
              <w:t>Maintain backup handheld dryers; establish biannual preventive maintenance servicing with local technical suppliers.</w:t>
            </w:r>
          </w:p>
        </w:tc>
        <w:tc>
          <w:tcPr>
            <w:tcW w:type="dxa" w:w="1728"/>
            <w:vAlign w:val="center"/>
            <w:tcMar>
              <w:top w:w="80" w:type="dxa"/>
              <w:bottom w:w="80" w:type="dxa"/>
              <w:left w:w="120" w:type="dxa"/>
              <w:right w:w="120" w:type="dxa"/>
            </w:tcMar>
            <w:shd w:fill="F8FAFC"/>
          </w:tcPr>
          <w:p>
            <w:pPr>
              <w:spacing w:after="0"/>
            </w:pPr>
            <w:r>
              <w:rPr>
                <w:rFonts w:ascii="Arial" w:hAnsi="Arial"/>
                <w:color w:val="0F172A"/>
                <w:sz w:val="17"/>
              </w:rPr>
              <w:t>Salon Supervisor</w:t>
            </w:r>
          </w:p>
        </w:tc>
      </w:tr>
      <w:tr>
        <w:tc>
          <w:tcPr>
            <w:tcW w:type="dxa" w:w="2592"/>
            <w:vAlign w:val="center"/>
            <w:tcMar>
              <w:top w:w="80" w:type="dxa"/>
              <w:bottom w:w="80" w:type="dxa"/>
              <w:left w:w="120" w:type="dxa"/>
              <w:right w:w="120" w:type="dxa"/>
            </w:tcMar>
            <w:shd w:fill="FFFFFF"/>
          </w:tcPr>
          <w:p>
            <w:pPr>
              <w:spacing w:after="0"/>
            </w:pPr>
            <w:r>
              <w:rPr>
                <w:rFonts w:ascii="Arial" w:hAnsi="Arial"/>
                <w:color w:val="0F172A"/>
                <w:sz w:val="17"/>
              </w:rPr>
              <w:t>Neighborhood Demand Volatility on Weekdays</w:t>
            </w:r>
          </w:p>
        </w:tc>
        <w:tc>
          <w:tcPr>
            <w:tcW w:type="dxa" w:w="1296"/>
            <w:vAlign w:val="center"/>
            <w:tcMar>
              <w:top w:w="80" w:type="dxa"/>
              <w:bottom w:w="80" w:type="dxa"/>
              <w:left w:w="120" w:type="dxa"/>
              <w:right w:w="120" w:type="dxa"/>
            </w:tcMar>
            <w:shd w:fill="FFFFFF"/>
          </w:tcPr>
          <w:p>
            <w:pPr>
              <w:spacing w:after="0"/>
            </w:pPr>
            <w:r>
              <w:rPr>
                <w:rFonts w:ascii="Arial" w:hAnsi="Arial"/>
                <w:color w:val="0F172A"/>
                <w:sz w:val="17"/>
              </w:rPr>
              <w:t>Moderate</w:t>
            </w:r>
          </w:p>
        </w:tc>
        <w:tc>
          <w:tcPr>
            <w:tcW w:type="dxa" w:w="4133"/>
            <w:vAlign w:val="center"/>
            <w:tcMar>
              <w:top w:w="80" w:type="dxa"/>
              <w:bottom w:w="80" w:type="dxa"/>
              <w:left w:w="120" w:type="dxa"/>
              <w:right w:w="120" w:type="dxa"/>
            </w:tcMar>
            <w:shd w:fill="FFFFFF"/>
          </w:tcPr>
          <w:p>
            <w:pPr>
              <w:spacing w:after="0"/>
            </w:pPr>
            <w:r>
              <w:rPr>
                <w:rFonts w:ascii="Arial" w:hAnsi="Arial"/>
                <w:color w:val="0F172A"/>
                <w:sz w:val="17"/>
              </w:rPr>
              <w:t>Offer Tuesday–Thursday mid-week package discounts (e.g. 20% off facials) to balance client footfall across the week.</w:t>
            </w:r>
          </w:p>
        </w:tc>
        <w:tc>
          <w:tcPr>
            <w:tcW w:type="dxa" w:w="1728"/>
            <w:vAlign w:val="center"/>
            <w:tcMar>
              <w:top w:w="80" w:type="dxa"/>
              <w:bottom w:w="80" w:type="dxa"/>
              <w:left w:w="120" w:type="dxa"/>
              <w:right w:w="120" w:type="dxa"/>
            </w:tcMar>
            <w:shd w:fill="FFFFFF"/>
          </w:tcPr>
          <w:p>
            <w:pPr>
              <w:spacing w:after="0"/>
            </w:pPr>
            <w:r>
              <w:rPr>
                <w:rFonts w:ascii="Arial" w:hAnsi="Arial"/>
                <w:color w:val="0F172A"/>
                <w:sz w:val="17"/>
              </w:rPr>
              <w:t>Marketing Coordinator</w:t>
            </w:r>
          </w:p>
        </w:tc>
      </w:tr>
    </w:tbl>
    <w:p>
      <w:r>
        <w:br w:type="page"/>
      </w:r>
    </w:p>
    <w:p>
      <w:pPr>
        <w:keepNext/>
        <w:spacing w:before="280" w:after="100"/>
      </w:pPr>
      <w:r>
        <w:rPr>
          <w:rFonts w:ascii="Arial" w:hAnsi="Arial"/>
          <w:b/>
          <w:color w:val="1E3A8A"/>
          <w:sz w:val="30"/>
        </w:rPr>
        <w:t>Appendix — Model Transparency &amp; Glossary</w:t>
      </w:r>
    </w:p>
    <w:p>
      <w:pPr>
        <w:keepNext/>
        <w:spacing w:before="200" w:after="60"/>
      </w:pPr>
      <w:r>
        <w:rPr>
          <w:rFonts w:ascii="Arial" w:hAnsi="Arial"/>
          <w:b/>
          <w:color w:val="1E3A8A"/>
          <w:sz w:val="22"/>
        </w:rPr>
        <w:t>A.1 Model Reliability Architecture Note (Issue 18)</w:t>
      </w:r>
    </w:p>
    <w:p>
      <w:pPr>
        <w:spacing w:after="80" w:line="276" w:lineRule="auto"/>
      </w:pPr>
      <w:r>
        <w:rPr>
          <w:rFonts w:ascii="Arial" w:hAnsi="Arial"/>
          <w:b/>
          <w:color w:val="0F172A"/>
          <w:sz w:val="19"/>
        </w:rPr>
        <w:t xml:space="preserve">Model Performance: </w:t>
      </w:r>
      <w:r>
        <w:rPr>
          <w:rFonts w:ascii="Arial" w:hAnsi="Arial"/>
          <w:color w:val="0F172A"/>
          <w:sz w:val="19"/>
        </w:rPr>
        <w:t>Architecture: Random Forest Classifier (500 Decision Trees)  |  Cross-Validation Accuracy: 88.33%  |  ROC-AUC: 0.9691  |  Test Dataset: 180 Empirical Sri Lankan SME Profiles</w:t>
      </w:r>
    </w:p>
    <w:p>
      <w:pPr>
        <w:spacing w:after="80" w:line="276" w:lineRule="auto"/>
      </w:pPr>
      <w:r>
        <w:rPr>
          <w:rFonts w:ascii="Arial" w:hAnsi="Arial"/>
          <w:b/>
          <w:color w:val="0F172A"/>
          <w:sz w:val="19"/>
        </w:rPr>
        <w:t xml:space="preserve">Sensitivity Analysis: </w:t>
      </w:r>
      <w:r>
        <w:rPr>
          <w:rFonts w:ascii="Arial" w:hAnsi="Arial"/>
          <w:color w:val="0F172A"/>
          <w:sz w:val="19"/>
        </w:rPr>
        <w:t>Strategy #1 (Hybrid Digital Booking &amp; Home-Visit Model, score: 0.767) leads Strategy #2 (Lean Bootstrapped Studio (ASDF SALOON), score: 0.7081) by 0.0589. Hybrid Model leads due to higher Market Demand Alignment (0.25 weight) and Resource Efficiency (0.15 weight). However, if the entrepreneur prioritizes zero debt and absolute minimum overhead, Lean Bootstrapping remains a viable secondary posture.</w:t>
      </w:r>
    </w:p>
    <w:p>
      <w:pPr>
        <w:keepNext/>
        <w:spacing w:before="200" w:after="60"/>
      </w:pPr>
      <w:r>
        <w:rPr>
          <w:rFonts w:ascii="Arial" w:hAnsi="Arial"/>
          <w:b/>
          <w:color w:val="1E3A8A"/>
          <w:sz w:val="22"/>
        </w:rPr>
        <w:t>A.2 Plain-Language Decision Support Glossary (Issue 19)</w:t>
      </w:r>
    </w:p>
    <w:tbl>
      <w:tblPr>
        <w:tblW w:type="auto" w:w="0"/>
        <w:jc w:val="center"/>
        <w:tblLook w:firstColumn="1" w:firstRow="1" w:lastColumn="0" w:lastRow="0" w:noHBand="0" w:noVBand="1" w:val="04A0"/>
      </w:tblPr>
      <w:tblGrid>
        <w:gridCol w:w="4874"/>
        <w:gridCol w:w="4874"/>
      </w:tblGrid>
      <w:tr>
        <w:tc>
          <w:tcPr>
            <w:tcW w:type="dxa" w:w="2880"/>
            <w:vAlign w:val="center"/>
            <w:tcMar>
              <w:top w:w="80" w:type="dxa"/>
              <w:bottom w:w="80" w:type="dxa"/>
              <w:left w:w="120" w:type="dxa"/>
              <w:right w:w="120" w:type="dxa"/>
            </w:tcMar>
            <w:shd w:fill="1E3A8A"/>
          </w:tcPr>
          <w:p>
            <w:pPr>
              <w:spacing w:after="0"/>
            </w:pPr>
            <w:r>
              <w:rPr>
                <w:rFonts w:ascii="Arial" w:hAnsi="Arial"/>
                <w:b/>
                <w:color w:val="FFFFFF"/>
                <w:sz w:val="17"/>
              </w:rPr>
              <w:t>Term</w:t>
            </w:r>
          </w:p>
        </w:tc>
        <w:tc>
          <w:tcPr>
            <w:tcW w:type="dxa" w:w="6869"/>
            <w:vAlign w:val="center"/>
            <w:tcMar>
              <w:top w:w="80" w:type="dxa"/>
              <w:bottom w:w="80" w:type="dxa"/>
              <w:left w:w="120" w:type="dxa"/>
              <w:right w:w="120" w:type="dxa"/>
            </w:tcMar>
            <w:shd w:fill="1E3A8A"/>
          </w:tcPr>
          <w:p>
            <w:pPr>
              <w:spacing w:after="0"/>
            </w:pPr>
            <w:r>
              <w:rPr>
                <w:rFonts w:ascii="Arial" w:hAnsi="Arial"/>
                <w:b/>
                <w:color w:val="FFFFFF"/>
                <w:sz w:val="17"/>
              </w:rPr>
              <w:t>Plain-Language Explanation</w:t>
            </w:r>
          </w:p>
        </w:tc>
      </w:tr>
      <w:tr>
        <w:tc>
          <w:tcPr>
            <w:tcW w:type="dxa" w:w="2880"/>
            <w:vAlign w:val="center"/>
            <w:tcMar>
              <w:top w:w="80" w:type="dxa"/>
              <w:bottom w:w="80" w:type="dxa"/>
              <w:left w:w="120" w:type="dxa"/>
              <w:right w:w="120" w:type="dxa"/>
            </w:tcMar>
            <w:shd w:fill="FFFFFF"/>
          </w:tcPr>
          <w:p>
            <w:pPr>
              <w:spacing w:after="0"/>
            </w:pPr>
            <w:r>
              <w:rPr>
                <w:rFonts w:ascii="Arial" w:hAnsi="Arial"/>
                <w:color w:val="0F172A"/>
                <w:sz w:val="17"/>
              </w:rPr>
              <w:t>Random Forest Feasibility Model</w:t>
            </w:r>
          </w:p>
        </w:tc>
        <w:tc>
          <w:tcPr>
            <w:tcW w:type="dxa" w:w="6869"/>
            <w:vAlign w:val="center"/>
            <w:tcMar>
              <w:top w:w="80" w:type="dxa"/>
              <w:bottom w:w="80" w:type="dxa"/>
              <w:left w:w="120" w:type="dxa"/>
              <w:right w:w="120" w:type="dxa"/>
            </w:tcMar>
            <w:shd w:fill="FFFFFF"/>
          </w:tcPr>
          <w:p>
            <w:pPr>
              <w:spacing w:after="0"/>
            </w:pPr>
            <w:r>
              <w:rPr>
                <w:rFonts w:ascii="Arial" w:hAnsi="Arial"/>
                <w:color w:val="0F172A"/>
                <w:sz w:val="17"/>
              </w:rPr>
              <w:t>An artificial intelligence classification engine that evaluates your business against 500 decision trees trained on real Sri Lankan SME records. It predicts whether a venture is Feasible, Conditionally Feasible, or Infeasible based on capital, market demand, pricing, location, and operations.</w:t>
            </w:r>
          </w:p>
        </w:tc>
      </w:tr>
      <w:tr>
        <w:tc>
          <w:tcPr>
            <w:tcW w:type="dxa" w:w="2880"/>
            <w:vAlign w:val="center"/>
            <w:tcMar>
              <w:top w:w="80" w:type="dxa"/>
              <w:bottom w:w="80" w:type="dxa"/>
              <w:left w:w="120" w:type="dxa"/>
              <w:right w:w="120" w:type="dxa"/>
            </w:tcMar>
            <w:shd w:fill="F8FAFC"/>
          </w:tcPr>
          <w:p>
            <w:pPr>
              <w:spacing w:after="0"/>
            </w:pPr>
            <w:r>
              <w:rPr>
                <w:rFonts w:ascii="Arial" w:hAnsi="Arial"/>
                <w:color w:val="0F172A"/>
                <w:sz w:val="17"/>
              </w:rPr>
              <w:t>SHAP (SHapley Additive exPlanations)</w:t>
            </w:r>
          </w:p>
        </w:tc>
        <w:tc>
          <w:tcPr>
            <w:tcW w:type="dxa" w:w="6869"/>
            <w:vAlign w:val="center"/>
            <w:tcMar>
              <w:top w:w="80" w:type="dxa"/>
              <w:bottom w:w="80" w:type="dxa"/>
              <w:left w:w="120" w:type="dxa"/>
              <w:right w:w="120" w:type="dxa"/>
            </w:tcMar>
            <w:shd w:fill="F8FAFC"/>
          </w:tcPr>
          <w:p>
            <w:pPr>
              <w:spacing w:after="0"/>
            </w:pPr>
            <w:r>
              <w:rPr>
                <w:rFonts w:ascii="Arial" w:hAnsi="Arial"/>
                <w:color w:val="0F172A"/>
                <w:sz w:val="17"/>
              </w:rPr>
              <w:t>An explainability tool that reveals why the AI made its prediction. It measures how much each specific business factor (such as your available capital or customer footfall) pushed the assessment up (positive enabler) or down (operational hurdle).</w:t>
            </w:r>
          </w:p>
        </w:tc>
      </w:tr>
      <w:tr>
        <w:tc>
          <w:tcPr>
            <w:tcW w:type="dxa" w:w="2880"/>
            <w:vAlign w:val="center"/>
            <w:tcMar>
              <w:top w:w="80" w:type="dxa"/>
              <w:bottom w:w="80" w:type="dxa"/>
              <w:left w:w="120" w:type="dxa"/>
              <w:right w:w="120" w:type="dxa"/>
            </w:tcMar>
            <w:shd w:fill="FFFFFF"/>
          </w:tcPr>
          <w:p>
            <w:pPr>
              <w:spacing w:after="0"/>
            </w:pPr>
            <w:r>
              <w:rPr>
                <w:rFonts w:ascii="Arial" w:hAnsi="Arial"/>
                <w:color w:val="0F172A"/>
                <w:sz w:val="17"/>
              </w:rPr>
              <w:t>TOPSIS Strategic Prioritization</w:t>
            </w:r>
          </w:p>
        </w:tc>
        <w:tc>
          <w:tcPr>
            <w:tcW w:type="dxa" w:w="6869"/>
            <w:vAlign w:val="center"/>
            <w:tcMar>
              <w:top w:w="80" w:type="dxa"/>
              <w:bottom w:w="80" w:type="dxa"/>
              <w:left w:w="120" w:type="dxa"/>
              <w:right w:w="120" w:type="dxa"/>
            </w:tcMar>
            <w:shd w:fill="FFFFFF"/>
          </w:tcPr>
          <w:p>
            <w:pPr>
              <w:spacing w:after="0"/>
            </w:pPr>
            <w:r>
              <w:rPr>
                <w:rFonts w:ascii="Arial" w:hAnsi="Arial"/>
                <w:color w:val="0F172A"/>
                <w:sz w:val="17"/>
              </w:rPr>
              <w:t>A multi-criteria decision method ('Technique for Order Preference by Similarity to Ideal Solution') that compares 4 distinct business strategies against five priorities: Financial Viability, Implementation Simplicity, Market Demand, Risk, and Resource Efficiency. The strategy with the highest score is the mathematically recommended choice.</w:t>
            </w:r>
          </w:p>
        </w:tc>
      </w:tr>
      <w:tr>
        <w:tc>
          <w:tcPr>
            <w:tcW w:type="dxa" w:w="2880"/>
            <w:vAlign w:val="center"/>
            <w:tcMar>
              <w:top w:w="80" w:type="dxa"/>
              <w:bottom w:w="80" w:type="dxa"/>
              <w:left w:w="120" w:type="dxa"/>
              <w:right w:w="120" w:type="dxa"/>
            </w:tcMar>
            <w:shd w:fill="F8FAFC"/>
          </w:tcPr>
          <w:p>
            <w:pPr>
              <w:spacing w:after="0"/>
            </w:pPr>
            <w:r>
              <w:rPr>
                <w:rFonts w:ascii="Arial" w:hAnsi="Arial"/>
                <w:color w:val="0F172A"/>
                <w:sz w:val="17"/>
              </w:rPr>
              <w:t>Capital Runway (Months)</w:t>
            </w:r>
          </w:p>
        </w:tc>
        <w:tc>
          <w:tcPr>
            <w:tcW w:type="dxa" w:w="6869"/>
            <w:vAlign w:val="center"/>
            <w:tcMar>
              <w:top w:w="80" w:type="dxa"/>
              <w:bottom w:w="80" w:type="dxa"/>
              <w:left w:w="120" w:type="dxa"/>
              <w:right w:w="120" w:type="dxa"/>
            </w:tcMar>
            <w:shd w:fill="F8FAFC"/>
          </w:tcPr>
          <w:p>
            <w:pPr>
              <w:spacing w:after="0"/>
            </w:pPr>
            <w:r>
              <w:rPr>
                <w:rFonts w:ascii="Arial" w:hAnsi="Arial"/>
                <w:color w:val="0F172A"/>
                <w:sz w:val="17"/>
              </w:rPr>
              <w:t>The number of months your business can continue operating if revenue drops or takes longer than expected to build up. It is calculated by dividing your remaining cash reserves by your net monthly operating expenses.</w:t>
            </w:r>
          </w:p>
        </w:tc>
      </w:tr>
      <w:tr>
        <w:tc>
          <w:tcPr>
            <w:tcW w:type="dxa" w:w="2880"/>
            <w:vAlign w:val="center"/>
            <w:tcMar>
              <w:top w:w="80" w:type="dxa"/>
              <w:bottom w:w="80" w:type="dxa"/>
              <w:left w:w="120" w:type="dxa"/>
              <w:right w:w="120" w:type="dxa"/>
            </w:tcMar>
            <w:shd w:fill="FFFFFF"/>
          </w:tcPr>
          <w:p>
            <w:pPr>
              <w:spacing w:after="0"/>
            </w:pPr>
            <w:r>
              <w:rPr>
                <w:rFonts w:ascii="Arial" w:hAnsi="Arial"/>
                <w:color w:val="0F172A"/>
                <w:sz w:val="17"/>
              </w:rPr>
              <w:t>Break-Even Customer Volume</w:t>
            </w:r>
          </w:p>
        </w:tc>
        <w:tc>
          <w:tcPr>
            <w:tcW w:type="dxa" w:w="6869"/>
            <w:vAlign w:val="center"/>
            <w:tcMar>
              <w:top w:w="80" w:type="dxa"/>
              <w:bottom w:w="80" w:type="dxa"/>
              <w:left w:w="120" w:type="dxa"/>
              <w:right w:w="120" w:type="dxa"/>
            </w:tcMar>
            <w:shd w:fill="FFFFFF"/>
          </w:tcPr>
          <w:p>
            <w:pPr>
              <w:spacing w:after="0"/>
            </w:pPr>
            <w:r>
              <w:rPr>
                <w:rFonts w:ascii="Arial" w:hAnsi="Arial"/>
                <w:color w:val="0F172A"/>
                <w:sz w:val="17"/>
              </w:rPr>
              <w:t>The minimum number of customers you need each day so that total sales equal total operating costs. Serving customers above this threshold generates net profit; serving fewer results in an operating loss.</w:t>
            </w:r>
          </w:p>
        </w:tc>
      </w:tr>
      <w:tr>
        <w:tc>
          <w:tcPr>
            <w:tcW w:type="dxa" w:w="2880"/>
            <w:vAlign w:val="center"/>
            <w:tcMar>
              <w:top w:w="80" w:type="dxa"/>
              <w:bottom w:w="80" w:type="dxa"/>
              <w:left w:w="120" w:type="dxa"/>
              <w:right w:w="120" w:type="dxa"/>
            </w:tcMar>
            <w:shd w:fill="F8FAFC"/>
          </w:tcPr>
          <w:p>
            <w:pPr>
              <w:spacing w:after="0"/>
            </w:pPr>
            <w:r>
              <w:rPr>
                <w:rFonts w:ascii="Arial" w:hAnsi="Arial"/>
                <w:color w:val="0F172A"/>
                <w:sz w:val="17"/>
              </w:rPr>
              <w:t>Counterfactual Minimum Threshold</w:t>
            </w:r>
          </w:p>
        </w:tc>
        <w:tc>
          <w:tcPr>
            <w:tcW w:type="dxa" w:w="6869"/>
            <w:vAlign w:val="center"/>
            <w:tcMar>
              <w:top w:w="80" w:type="dxa"/>
              <w:bottom w:w="80" w:type="dxa"/>
              <w:left w:w="120" w:type="dxa"/>
              <w:right w:w="120" w:type="dxa"/>
            </w:tcMar>
            <w:shd w:fill="F8FAFC"/>
          </w:tcPr>
          <w:p>
            <w:pPr>
              <w:spacing w:after="0"/>
            </w:pPr>
            <w:r>
              <w:rPr>
                <w:rFonts w:ascii="Arial" w:hAnsi="Arial"/>
                <w:color w:val="0F172A"/>
                <w:sz w:val="17"/>
              </w:rPr>
              <w:t>An analytical test that checks the smallest change needed in a single variable (such as capital) to flip an outcome from 'Conditional' to 'Feasible'. It helps entrepreneurs identify which levers produce the greatest operational improvement.</w:t>
            </w:r>
          </w:p>
        </w:tc>
      </w:tr>
    </w:tbl>
    <w:sectPr w:rsidR="00FC693F" w:rsidRPr="0006063C" w:rsidSect="00034616">
      <w:pgSz w:w="11909" w:h="16834"/>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