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56"/>
          <w:szCs w:val="56"/>
        </w:rPr>
        <w:t xml:space="preserve">FoodExpress</w:t>
      </w:r>
    </w:p>
    <w:p>
      <w:pPr>
        <w:spacing w:after="200"/>
        <w:jc w:val="center"/>
      </w:pPr>
      <w:r>
        <w:rPr>
          <w:color w:val="595959"/>
          <w:sz w:val="28"/>
          <w:szCs w:val="28"/>
        </w:rPr>
        <w:t xml:space="preserve">Delivery &amp; Sales Analytics — Project Report</w:t>
      </w:r>
    </w:p>
    <w:p>
      <w:pPr>
        <w:spacing w:after="60"/>
        <w:jc w:val="center"/>
      </w:pPr>
      <w:r>
        <w:rPr>
          <w:color w:val="595959"/>
          <w:sz w:val="22"/>
          <w:szCs w:val="22"/>
        </w:rPr>
        <w:t xml:space="preserve">Prepared by: Kumud</w:t>
      </w:r>
    </w:p>
    <w:p>
      <w:pPr>
        <w:spacing w:after="400"/>
        <w:jc w:val="center"/>
      </w:pPr>
      <w:r>
        <w:rPr>
          <w:color w:val="595959"/>
          <w:sz w:val="22"/>
          <w:szCs w:val="22"/>
        </w:rPr>
        <w:t xml:space="preserve">Tools Used: Python (Pandas, Seaborn) · PostgreSQL · Power BI</w:t>
      </w:r>
    </w:p>
    <w:p>
      <w:pPr>
        <w:pStyle w:val="Heading1"/>
      </w:pPr>
      <w:r>
        <w:t xml:space="preserve">1. Business Problem Statement</w:t>
      </w:r>
    </w:p>
    <w:p>
      <w:pPr>
        <w:spacing w:after="160"/>
      </w:pPr>
      <w:r>
        <w:rPr>
          <w:i w:val="false"/>
          <w:iCs w:val="false"/>
          <w:sz w:val="22"/>
          <w:szCs w:val="22"/>
        </w:rPr>
        <w:t xml:space="preserve">FoodExpress is a fictional food delivery platform operating across multiple Indian cities, connecting customers with restaurants and managing delivery logistics — similar in structure to Zomato or Swiggy.</w:t>
      </w:r>
    </w:p>
    <w:p>
      <w:pPr>
        <w:spacing w:after="160"/>
      </w:pPr>
      <w:r>
        <w:rPr>
          <w:i w:val="false"/>
          <w:iCs w:val="false"/>
          <w:sz w:val="22"/>
          <w:szCs w:val="22"/>
        </w:rPr>
        <w:t xml:space="preserve">Management currently lacks a single, unified view of platform performance. Data on orders, deliveries, and cancellations is scattered, making it difficult to answer fundamental operational questions. This project consolidates and analyzes that data to surface actionable insights for improving revenue and delivery efficiency.</w:t>
      </w:r>
    </w:p>
    <w:p>
      <w:pPr>
        <w:pStyle w:val="Heading2"/>
      </w:pPr>
      <w:r>
        <w:t xml:space="preserve">Key Business Questions</w:t>
      </w:r>
    </w:p>
    <w:p>
      <w:pPr>
        <w:pStyle w:val="ListParagraph"/>
        <w:numPr>
          <w:ilvl w:val="0"/>
          <w:numId w:val="2"/>
        </w:numPr>
        <w:spacing w:after="100"/>
      </w:pPr>
      <w:r>
        <w:rPr>
          <w:sz w:val="22"/>
          <w:szCs w:val="22"/>
        </w:rPr>
        <w:t xml:space="preserve">Which cities and restaurants generate the highest revenue?</w:t>
      </w:r>
    </w:p>
    <w:p>
      <w:pPr>
        <w:pStyle w:val="ListParagraph"/>
        <w:numPr>
          <w:ilvl w:val="0"/>
          <w:numId w:val="2"/>
        </w:numPr>
        <w:spacing w:after="100"/>
      </w:pPr>
      <w:r>
        <w:rPr>
          <w:sz w:val="22"/>
          <w:szCs w:val="22"/>
        </w:rPr>
        <w:t xml:space="preserve">What is the average delivery time, and which factors affect it?</w:t>
      </w:r>
    </w:p>
    <w:p>
      <w:pPr>
        <w:pStyle w:val="ListParagraph"/>
        <w:numPr>
          <w:ilvl w:val="0"/>
          <w:numId w:val="2"/>
        </w:numPr>
        <w:spacing w:after="100"/>
      </w:pPr>
      <w:r>
        <w:rPr>
          <w:sz w:val="22"/>
          <w:szCs w:val="22"/>
        </w:rPr>
        <w:t xml:space="preserve">What is the order cancellation rate, and what reasons drive cancellations?</w:t>
      </w:r>
    </w:p>
    <w:p>
      <w:pPr>
        <w:pStyle w:val="ListParagraph"/>
        <w:numPr>
          <w:ilvl w:val="0"/>
          <w:numId w:val="2"/>
        </w:numPr>
        <w:spacing w:after="100"/>
      </w:pPr>
      <w:r>
        <w:rPr>
          <w:sz w:val="22"/>
          <w:szCs w:val="22"/>
        </w:rPr>
        <w:t xml:space="preserve">Which cuisines and payment methods are most preferred by customers?</w:t>
      </w:r>
    </w:p>
    <w:p>
      <w:pPr>
        <w:pStyle w:val="ListParagraph"/>
        <w:numPr>
          <w:ilvl w:val="0"/>
          <w:numId w:val="2"/>
        </w:numPr>
        <w:spacing w:after="100"/>
      </w:pPr>
      <w:r>
        <w:rPr>
          <w:sz w:val="22"/>
          <w:szCs w:val="22"/>
        </w:rPr>
        <w:t xml:space="preserve">Who are the top customers by order frequency and spend?</w:t>
      </w:r>
    </w:p>
    <w:p>
      <w:pPr>
        <w:pStyle w:val="ListParagraph"/>
        <w:numPr>
          <w:ilvl w:val="0"/>
          <w:numId w:val="2"/>
        </w:numPr>
        <w:spacing w:after="100"/>
      </w:pPr>
      <w:r>
        <w:rPr>
          <w:sz w:val="22"/>
          <w:szCs w:val="22"/>
        </w:rPr>
        <w:t xml:space="preserve">Is there a relationship between delivery time and customer ratings?</w:t>
      </w:r>
    </w:p>
    <w:p>
      <w:pPr>
        <w:pStyle w:val="Heading1"/>
      </w:pPr>
      <w:r>
        <w:t xml:space="preserve">2. Dataset Overview</w:t>
      </w:r>
    </w:p>
    <w:p>
      <w:pPr>
        <w:spacing w:after="160"/>
      </w:pPr>
      <w:r>
        <w:rPr>
          <w:i w:val="false"/>
          <w:iCs w:val="false"/>
          <w:sz w:val="22"/>
          <w:szCs w:val="22"/>
        </w:rPr>
        <w:t xml:space="preserve">A synthetic dataset of 520 orders was generated to simulate realistic food delivery operations, with 24 columns covering order details, customer information, restaurant and cuisine data, payment methods, delivery logistics, and order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b/>
                <w:bCs/>
                <w:color w:val="FFFFFF"/>
                <w:sz w:val="21"/>
                <w:szCs w:val="21"/>
              </w:rPr>
              <w:t xml:space="preserve">Attribute</w:t>
            </w:r>
          </w:p>
        </w:tc>
        <w:tc>
          <w:tcPr>
            <w:tcW w:type="dxa" w:w="62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b/>
                <w:bCs/>
                <w:color w:val="FFFFFF"/>
                <w:sz w:val="21"/>
                <w:szCs w:val="21"/>
              </w:rPr>
              <w:t xml:space="preserve">Detail</w:t>
            </w:r>
          </w:p>
        </w:tc>
      </w:tr>
      <w:tr>
        <w:tc>
          <w:tcPr>
            <w:tcW w:type="dxa" w:w="3120"/>
            <w:tcBorders>
              <w:top w:val="single" w:color="CCCCCC" w:sz="1"/>
              <w:left w:val="single" w:color="CCCCCC" w:sz="1"/>
              <w:bottom w:val="single" w:color="CCCCCC" w:sz="1"/>
              <w:right w:val="single" w:color="CCCCCC" w:sz="1"/>
            </w:tcBorders>
            <w:shd w:fill="D9E6F2" w:val="clear"/>
            <w:tcMar>
              <w:top w:type="dxa" w:w="90"/>
              <w:left w:type="dxa" w:w="120"/>
              <w:bottom w:type="dxa" w:w="90"/>
              <w:right w:type="dxa" w:w="120"/>
            </w:tcMar>
            <w:vAlign w:val="center"/>
          </w:tcPr>
          <w:p>
            <w:r>
              <w:rPr>
                <w:b/>
                <w:bCs/>
                <w:sz w:val="21"/>
                <w:szCs w:val="21"/>
              </w:rPr>
              <w:t xml:space="preserve">Total Records</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sz w:val="21"/>
                <w:szCs w:val="21"/>
              </w:rPr>
              <w:t xml:space="preserve">520 orders</w:t>
            </w:r>
          </w:p>
        </w:tc>
      </w:tr>
      <w:tr>
        <w:tc>
          <w:tcPr>
            <w:tcW w:type="dxa" w:w="3120"/>
            <w:tcBorders>
              <w:top w:val="single" w:color="CCCCCC" w:sz="1"/>
              <w:left w:val="single" w:color="CCCCCC" w:sz="1"/>
              <w:bottom w:val="single" w:color="CCCCCC" w:sz="1"/>
              <w:right w:val="single" w:color="CCCCCC" w:sz="1"/>
            </w:tcBorders>
            <w:shd w:fill="D9E6F2" w:val="clear"/>
            <w:tcMar>
              <w:top w:type="dxa" w:w="90"/>
              <w:left w:type="dxa" w:w="120"/>
              <w:bottom w:type="dxa" w:w="90"/>
              <w:right w:type="dxa" w:w="120"/>
            </w:tcMar>
            <w:vAlign w:val="center"/>
          </w:tcPr>
          <w:p>
            <w:r>
              <w:rPr>
                <w:b/>
                <w:bCs/>
                <w:sz w:val="21"/>
                <w:szCs w:val="21"/>
              </w:rPr>
              <w:t xml:space="preserve">Columns</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sz w:val="21"/>
                <w:szCs w:val="21"/>
              </w:rPr>
              <w:t xml:space="preserve">24 (order, customer, restaurant, payment, delivery, outcome)</w:t>
            </w:r>
          </w:p>
        </w:tc>
      </w:tr>
      <w:tr>
        <w:tc>
          <w:tcPr>
            <w:tcW w:type="dxa" w:w="3120"/>
            <w:tcBorders>
              <w:top w:val="single" w:color="CCCCCC" w:sz="1"/>
              <w:left w:val="single" w:color="CCCCCC" w:sz="1"/>
              <w:bottom w:val="single" w:color="CCCCCC" w:sz="1"/>
              <w:right w:val="single" w:color="CCCCCC" w:sz="1"/>
            </w:tcBorders>
            <w:shd w:fill="D9E6F2" w:val="clear"/>
            <w:tcMar>
              <w:top w:type="dxa" w:w="90"/>
              <w:left w:type="dxa" w:w="120"/>
              <w:bottom w:type="dxa" w:w="90"/>
              <w:right w:type="dxa" w:w="120"/>
            </w:tcMar>
            <w:vAlign w:val="center"/>
          </w:tcPr>
          <w:p>
            <w:r>
              <w:rPr>
                <w:b/>
                <w:bCs/>
                <w:sz w:val="21"/>
                <w:szCs w:val="21"/>
              </w:rPr>
              <w:t xml:space="preserve">Cities Covered</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sz w:val="21"/>
                <w:szCs w:val="21"/>
              </w:rPr>
              <w:t xml:space="preserve">Mumbai, Delhi, Bangalore, Hyderabad, Pune, Chennai, Kolkata</w:t>
            </w:r>
          </w:p>
        </w:tc>
      </w:tr>
      <w:tr>
        <w:tc>
          <w:tcPr>
            <w:tcW w:type="dxa" w:w="3120"/>
            <w:tcBorders>
              <w:top w:val="single" w:color="CCCCCC" w:sz="1"/>
              <w:left w:val="single" w:color="CCCCCC" w:sz="1"/>
              <w:bottom w:val="single" w:color="CCCCCC" w:sz="1"/>
              <w:right w:val="single" w:color="CCCCCC" w:sz="1"/>
            </w:tcBorders>
            <w:shd w:fill="D9E6F2" w:val="clear"/>
            <w:tcMar>
              <w:top w:type="dxa" w:w="90"/>
              <w:left w:type="dxa" w:w="120"/>
              <w:bottom w:type="dxa" w:w="90"/>
              <w:right w:type="dxa" w:w="120"/>
            </w:tcMar>
            <w:vAlign w:val="center"/>
          </w:tcPr>
          <w:p>
            <w:r>
              <w:rPr>
                <w:b/>
                <w:bCs/>
                <w:sz w:val="21"/>
                <w:szCs w:val="21"/>
              </w:rPr>
              <w:t xml:space="preserve">Restaurants / Cuisines</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sz w:val="21"/>
                <w:szCs w:val="21"/>
              </w:rPr>
              <w:t xml:space="preserve">24 restaurants across 10 cuisine types</w:t>
            </w:r>
          </w:p>
        </w:tc>
      </w:tr>
      <w:tr>
        <w:tc>
          <w:tcPr>
            <w:tcW w:type="dxa" w:w="3120"/>
            <w:tcBorders>
              <w:top w:val="single" w:color="CCCCCC" w:sz="1"/>
              <w:left w:val="single" w:color="CCCCCC" w:sz="1"/>
              <w:bottom w:val="single" w:color="CCCCCC" w:sz="1"/>
              <w:right w:val="single" w:color="CCCCCC" w:sz="1"/>
            </w:tcBorders>
            <w:shd w:fill="D9E6F2" w:val="clear"/>
            <w:tcMar>
              <w:top w:type="dxa" w:w="90"/>
              <w:left w:type="dxa" w:w="120"/>
              <w:bottom w:type="dxa" w:w="90"/>
              <w:right w:type="dxa" w:w="120"/>
            </w:tcMar>
            <w:vAlign w:val="center"/>
          </w:tcPr>
          <w:p>
            <w:r>
              <w:rPr>
                <w:b/>
                <w:bCs/>
                <w:sz w:val="21"/>
                <w:szCs w:val="21"/>
              </w:rPr>
              <w:t xml:space="preserve">Time Period</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sz w:val="21"/>
                <w:szCs w:val="21"/>
              </w:rPr>
              <w:t xml:space="preserve">~7 months of order activity</w:t>
            </w:r>
          </w:p>
        </w:tc>
      </w:tr>
    </w:tbl>
    <w:p>
      <w:pPr>
        <w:spacing w:before="200"/>
      </w:pPr>
    </w:p>
    <w:p>
      <w:pPr>
        <w:pStyle w:val="Heading1"/>
      </w:pPr>
      <w:r>
        <w:t xml:space="preserve">3. Methodology</w:t>
      </w:r>
    </w:p>
    <w:p>
      <w:pPr>
        <w:pStyle w:val="Heading2"/>
      </w:pPr>
      <w:r>
        <w:t xml:space="preserve">3.1 Data Cleaning &amp; Exploration — Python</w:t>
      </w:r>
    </w:p>
    <w:p>
      <w:pPr>
        <w:spacing w:after="160"/>
      </w:pPr>
      <w:r>
        <w:rPr>
          <w:i w:val="false"/>
          <w:iCs w:val="false"/>
          <w:sz w:val="22"/>
          <w:szCs w:val="22"/>
        </w:rPr>
        <w:t xml:space="preserve">The raw dataset was loaded and explored in Python using Pandas, Matplotlib, and Seaborn. Key steps:</w:t>
      </w:r>
    </w:p>
    <w:p>
      <w:pPr>
        <w:pStyle w:val="ListParagraph"/>
        <w:numPr>
          <w:ilvl w:val="0"/>
          <w:numId w:val="3"/>
        </w:numPr>
        <w:spacing w:after="100"/>
      </w:pPr>
      <w:r>
        <w:rPr>
          <w:b w:val="false"/>
          <w:bCs w:val="false"/>
          <w:sz w:val="22"/>
          <w:szCs w:val="22"/>
        </w:rPr>
        <w:t xml:space="preserve">Verified data shape, structure, and column types</w:t>
      </w:r>
    </w:p>
    <w:p>
      <w:pPr>
        <w:pStyle w:val="ListParagraph"/>
        <w:numPr>
          <w:ilvl w:val="0"/>
          <w:numId w:val="3"/>
        </w:numPr>
        <w:spacing w:after="100"/>
      </w:pPr>
      <w:r>
        <w:rPr>
          <w:b w:val="false"/>
          <w:bCs w:val="false"/>
          <w:sz w:val="22"/>
          <w:szCs w:val="22"/>
        </w:rPr>
        <w:t xml:space="preserve">Checked and interpreted null values — confirmed that missing delivery times and ratings corresponded exactly to cancelled orders, a logical consequence rather than a data quality issue</w:t>
      </w:r>
    </w:p>
    <w:p>
      <w:pPr>
        <w:pStyle w:val="ListParagraph"/>
        <w:numPr>
          <w:ilvl w:val="0"/>
          <w:numId w:val="3"/>
        </w:numPr>
        <w:spacing w:after="100"/>
      </w:pPr>
      <w:r>
        <w:rPr>
          <w:b w:val="false"/>
          <w:bCs w:val="false"/>
          <w:sz w:val="22"/>
          <w:szCs w:val="22"/>
        </w:rPr>
        <w:t xml:space="preserve">Checked for duplicate records (none found)</w:t>
      </w:r>
    </w:p>
    <w:p>
      <w:pPr>
        <w:pStyle w:val="ListParagraph"/>
        <w:numPr>
          <w:ilvl w:val="0"/>
          <w:numId w:val="3"/>
        </w:numPr>
        <w:spacing w:after="100"/>
      </w:pPr>
      <w:r>
        <w:rPr>
          <w:b w:val="false"/>
          <w:bCs w:val="false"/>
          <w:sz w:val="22"/>
          <w:szCs w:val="22"/>
        </w:rPr>
        <w:t xml:space="preserve">Converted order_date to a proper datetime type, then derived order_month and order_day_ofweek for time-based analysis</w:t>
      </w:r>
    </w:p>
    <w:p>
      <w:pPr>
        <w:pStyle w:val="ListParagraph"/>
        <w:numPr>
          <w:ilvl w:val="0"/>
          <w:numId w:val="3"/>
        </w:numPr>
        <w:spacing w:after="100"/>
      </w:pPr>
      <w:r>
        <w:rPr>
          <w:b w:val="false"/>
          <w:bCs w:val="false"/>
          <w:sz w:val="22"/>
          <w:szCs w:val="22"/>
        </w:rPr>
        <w:t xml:space="preserve">Computed summary statistics for order value, distance, delivery time, and ratings</w:t>
      </w:r>
    </w:p>
    <w:p>
      <w:pPr>
        <w:pStyle w:val="ListParagraph"/>
        <w:numPr>
          <w:ilvl w:val="0"/>
          <w:numId w:val="3"/>
        </w:numPr>
        <w:spacing w:after="100"/>
      </w:pPr>
      <w:r>
        <w:rPr>
          <w:b w:val="false"/>
          <w:bCs w:val="false"/>
          <w:sz w:val="22"/>
          <w:szCs w:val="22"/>
        </w:rPr>
        <w:t xml:space="preserve">Performed groupby analysis (revenue by city, average rating by cuisine) and visualized distributions, including a boxplot comparing customer ratings across order statuses</w:t>
      </w:r>
    </w:p>
    <w:p>
      <w:pPr>
        <w:pStyle w:val="Heading2"/>
      </w:pPr>
      <w:r>
        <w:t xml:space="preserve">3.2 Data Analysis — SQL (PostgreSQL)</w:t>
      </w:r>
    </w:p>
    <w:p>
      <w:pPr>
        <w:spacing w:after="160"/>
      </w:pPr>
      <w:r>
        <w:rPr>
          <w:i w:val="false"/>
          <w:iCs w:val="false"/>
          <w:sz w:val="22"/>
          <w:szCs w:val="22"/>
        </w:rPr>
        <w:t xml:space="preserve">The cleaned dataset was loaded into a PostgreSQL database (via pgAdmin4) and queried directly to answer each business question using GROUP BY aggregations, conditional counting (CASE WHEN), and the CORR() function to test relationships between numeric variables such as distance, delivery time, and rating.</w:t>
      </w:r>
    </w:p>
    <w:p>
      <w:pPr>
        <w:pStyle w:val="Heading2"/>
      </w:pPr>
      <w:r>
        <w:t xml:space="preserve">3.3 Dashboard — Power BI</w:t>
      </w:r>
    </w:p>
    <w:p>
      <w:pPr>
        <w:spacing w:after="160"/>
      </w:pPr>
      <w:r>
        <w:rPr>
          <w:i w:val="false"/>
          <w:iCs w:val="false"/>
          <w:sz w:val="22"/>
          <w:szCs w:val="22"/>
        </w:rPr>
        <w:t xml:space="preserve">Power BI Desktop was connected directly to the PostgreSQL database to build a two-page interactive dashboard, translating the SQL findings into visual, explorable charts for a non-technical audience.</w:t>
      </w:r>
    </w:p>
    <w:p>
      <w:pPr>
        <w:pStyle w:val="Heading1"/>
      </w:pPr>
      <w:r>
        <w:t xml:space="preserve">4. Key Findings</w:t>
      </w:r>
    </w:p>
    <w:p>
      <w:pPr>
        <w:pStyle w:val="Heading2"/>
      </w:pPr>
      <w:r>
        <w:t xml:space="preserve">4.1 Revenue by City</w:t>
      </w:r>
    </w:p>
    <w:p>
      <w:pPr>
        <w:spacing w:after="160"/>
      </w:pPr>
      <w:r>
        <w:rPr>
          <w:i w:val="false"/>
          <w:iCs w:val="false"/>
          <w:sz w:val="22"/>
          <w:szCs w:val="22"/>
        </w:rPr>
        <w:t xml:space="preserve">Mumbai is the clear revenue leader at ₹97K, well ahead of Delhi, Bangalore, and Hyderabad, which cluster closely between ₹66K–68K. Chennai generates the least revenue (₹47K) among the seven cities covered.</w:t>
      </w:r>
    </w:p>
    <w:p>
      <w:pPr>
        <w:pStyle w:val="Heading2"/>
      </w:pPr>
      <w:r>
        <w:t xml:space="preserve">4.2 Delivery Time</w:t>
      </w:r>
    </w:p>
    <w:p>
      <w:pPr>
        <w:spacing w:after="160"/>
      </w:pPr>
      <w:r>
        <w:rPr>
          <w:i w:val="false"/>
          <w:iCs w:val="false"/>
          <w:sz w:val="22"/>
          <w:szCs w:val="22"/>
        </w:rPr>
        <w:t xml:space="preserve">Average delivery time across all orders is approximately 31–33 minutes. Dinner orders take the longest on average (33 minutes), consistent with dinner being the busiest ordering window, while other time slots (Late Night, Lunch, Evening Snacks, Breakfast) stay fairly consistent in the 31–32 minute range — indicating delivery time is driven more by order volume during peak hours than by time of day itself.</w:t>
      </w:r>
    </w:p>
    <w:p>
      <w:pPr>
        <w:pStyle w:val="Heading2"/>
      </w:pPr>
      <w:r>
        <w:t xml:space="preserve">4.3 Cancellations</w:t>
      </w:r>
    </w:p>
    <w:p>
      <w:pPr>
        <w:spacing w:after="160"/>
      </w:pPr>
      <w:r>
        <w:rPr>
          <w:i w:val="false"/>
          <w:iCs w:val="false"/>
          <w:sz w:val="22"/>
          <w:szCs w:val="22"/>
        </w:rPr>
        <w:t xml:space="preserve">The overall cancellation rate is 10.77%. Cancellation reasons are fairly evenly distributed, with “Long delivery time” as the single most common reason (19.6%), followed closely by “Customer changed mind,” “Address issue,” “Payment failed,” and “Restaurant out of stock” (each in the 14-18% range). No single cause dominates, suggesting cancellations stem from a mix of operational and customer-side factors rather than one fixable root cause.</w:t>
      </w:r>
    </w:p>
    <w:p>
      <w:pPr>
        <w:pStyle w:val="Heading2"/>
      </w:pPr>
      <w:r>
        <w:t xml:space="preserve">4.4 Cuisine &amp; Payment Preferences</w:t>
      </w:r>
    </w:p>
    <w:p>
      <w:pPr>
        <w:spacing w:after="160"/>
      </w:pPr>
      <w:r>
        <w:rPr>
          <w:i w:val="false"/>
          <w:iCs w:val="false"/>
          <w:sz w:val="22"/>
          <w:szCs w:val="22"/>
        </w:rPr>
        <w:t xml:space="preserve">North Indian is the most-ordered cuisine type, followed by Fast Food and Chinese. On payment, UPI is the clearly preferred method at 40.2% of all orders, followed by Cash on Delivery (20.8%), Debit Card (15%), Credit Card (14.8%), and Wallet (9.2%) — reflecting the broader shift toward UPI in Indian digital payments.</w:t>
      </w:r>
    </w:p>
    <w:p>
      <w:pPr>
        <w:pStyle w:val="Heading2"/>
      </w:pPr>
      <w:r>
        <w:t xml:space="preserve">4.5 Top Customers</w:t>
      </w:r>
    </w:p>
    <w:p>
      <w:pPr>
        <w:spacing w:after="160"/>
      </w:pPr>
      <w:r>
        <w:rPr>
          <w:i w:val="false"/>
          <w:iCs w:val="false"/>
          <w:sz w:val="22"/>
          <w:szCs w:val="22"/>
        </w:rPr>
        <w:t xml:space="preserve">The top 10 customers by spend collectively contributed ₹26,008.39 in revenue, led by Karan Sharma (₹3,097.64) and Yash Verma (₹2,954.59). This concentration highlights a small group of high-value repeat customers worth targeting for loyalty or retention programs.</w:t>
      </w:r>
    </w:p>
    <w:p>
      <w:pPr>
        <w:pStyle w:val="Heading2"/>
      </w:pPr>
      <w:r>
        <w:t xml:space="preserve">4.6 Delivery Time vs. Customer Rating</w:t>
      </w:r>
    </w:p>
    <w:p>
      <w:pPr>
        <w:spacing w:after="160"/>
      </w:pPr>
      <w:r>
        <w:rPr>
          <w:i w:val="false"/>
          <w:iCs w:val="false"/>
          <w:sz w:val="22"/>
          <w:szCs w:val="22"/>
        </w:rPr>
        <w:t xml:space="preserve">A weak negative correlation (r ≈ -0.20) was found between delivery time and customer rating. While the relationship is not strong, the direction is consistent with expectations: deliveries completed in under 50 minutes generally receive better ratings, and orders with longer delivery times tend to receive lower ratings. This suggests delivery speed is a contributing factor to customer satisfaction, but not the dominant one — other elements (food quality, order accuracy, packaging) likely play a larger role.</w:t>
      </w:r>
    </w:p>
    <w:p>
      <w:pPr>
        <w:pStyle w:val="Heading1"/>
      </w:pPr>
      <w:r>
        <w:t xml:space="preserve">5. Recommendations</w:t>
      </w:r>
    </w:p>
    <w:p>
      <w:pPr>
        <w:pStyle w:val="ListParagraph"/>
        <w:numPr>
          <w:ilvl w:val="0"/>
          <w:numId w:val="3"/>
        </w:numPr>
        <w:spacing w:after="100"/>
      </w:pPr>
      <w:r>
        <w:rPr>
          <w:b w:val="false"/>
          <w:bCs w:val="false"/>
          <w:sz w:val="22"/>
          <w:szCs w:val="22"/>
        </w:rPr>
        <w:t xml:space="preserve">Investigate Mumbai's success factors (restaurant density, marketing reach, customer base) and assess whether similar strategies could lift underperforming cities like Chennai and Pune.</w:t>
      </w:r>
    </w:p>
    <w:p>
      <w:pPr>
        <w:pStyle w:val="ListParagraph"/>
        <w:numPr>
          <w:ilvl w:val="0"/>
          <w:numId w:val="3"/>
        </w:numPr>
        <w:spacing w:after="100"/>
      </w:pPr>
      <w:r>
        <w:rPr>
          <w:b w:val="false"/>
          <w:bCs w:val="false"/>
          <w:sz w:val="22"/>
          <w:szCs w:val="22"/>
        </w:rPr>
        <w:t xml:space="preserve">Since dinner-hour deliveries are consistently the slowest, consider increasing delivery partner allocation specifically during dinner hours to reduce delays.</w:t>
      </w:r>
    </w:p>
    <w:p>
      <w:pPr>
        <w:pStyle w:val="ListParagraph"/>
        <w:numPr>
          <w:ilvl w:val="0"/>
          <w:numId w:val="3"/>
        </w:numPr>
        <w:spacing w:after="100"/>
      </w:pPr>
      <w:r>
        <w:rPr>
          <w:b w:val="false"/>
          <w:bCs w:val="false"/>
          <w:sz w:val="22"/>
          <w:szCs w:val="22"/>
        </w:rPr>
        <w:t xml:space="preserve">Because cancellation reasons are spread across several causes rather than one dominant issue, a multi-pronged approach is needed: improve delivery time estimates shown to customers, strengthen restaurant inventory checks, and simplify payment retry flows.</w:t>
      </w:r>
    </w:p>
    <w:p>
      <w:pPr>
        <w:pStyle w:val="ListParagraph"/>
        <w:numPr>
          <w:ilvl w:val="0"/>
          <w:numId w:val="3"/>
        </w:numPr>
        <w:spacing w:after="100"/>
      </w:pPr>
      <w:r>
        <w:rPr>
          <w:b w:val="false"/>
          <w:bCs w:val="false"/>
          <w:sz w:val="22"/>
          <w:szCs w:val="22"/>
        </w:rPr>
        <w:t xml:space="preserve">Continue prioritizing UPI as the primary supported payment rail given its strong adoption, while ensuring Cash on Delivery remains smooth given its meaningful 20% share.</w:t>
      </w:r>
    </w:p>
    <w:p>
      <w:pPr>
        <w:pStyle w:val="ListParagraph"/>
        <w:numPr>
          <w:ilvl w:val="0"/>
          <w:numId w:val="3"/>
        </w:numPr>
        <w:spacing w:after="100"/>
      </w:pPr>
      <w:r>
        <w:rPr>
          <w:b w:val="false"/>
          <w:bCs w:val="false"/>
          <w:sz w:val="22"/>
          <w:szCs w:val="22"/>
        </w:rPr>
        <w:t xml:space="preserve">Design a loyalty or rewards program targeted at top-spending repeat customers, given how concentrated revenue is among a small group of frequent buyers.</w:t>
      </w:r>
    </w:p>
    <w:p>
      <w:pPr>
        <w:pStyle w:val="Heading1"/>
      </w:pPr>
      <w:r>
        <w:t xml:space="preserve">6. Tools &amp;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b/>
                <w:bCs/>
                <w:color w:val="FFFFFF"/>
                <w:sz w:val="21"/>
                <w:szCs w:val="21"/>
              </w:rPr>
              <w:t xml:space="preserve">Stage</w:t>
            </w:r>
          </w:p>
        </w:tc>
        <w:tc>
          <w:tcPr>
            <w:tcW w:type="dxa" w:w="62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r>
              <w:rPr>
                <w:b/>
                <w:bCs/>
                <w:color w:val="FFFFFF"/>
                <w:sz w:val="21"/>
                <w:szCs w:val="21"/>
              </w:rPr>
              <w:t xml:space="preserve">Tools</w:t>
            </w:r>
          </w:p>
        </w:tc>
      </w:tr>
      <w:tr>
        <w:tc>
          <w:tcPr>
            <w:tcW w:type="dxa" w:w="3120"/>
            <w:tcBorders>
              <w:top w:val="single" w:color="CCCCCC" w:sz="1"/>
              <w:left w:val="single" w:color="CCCCCC" w:sz="1"/>
              <w:bottom w:val="single" w:color="CCCCCC" w:sz="1"/>
              <w:right w:val="single" w:color="CCCCCC" w:sz="1"/>
            </w:tcBorders>
            <w:shd w:fill="D9E6F2" w:val="clear"/>
            <w:tcMar>
              <w:top w:type="dxa" w:w="90"/>
              <w:left w:type="dxa" w:w="120"/>
              <w:bottom w:type="dxa" w:w="90"/>
              <w:right w:type="dxa" w:w="120"/>
            </w:tcMar>
            <w:vAlign w:val="center"/>
          </w:tcPr>
          <w:p>
            <w:r>
              <w:rPr>
                <w:b/>
                <w:bCs/>
                <w:sz w:val="21"/>
                <w:szCs w:val="21"/>
              </w:rPr>
              <w:t xml:space="preserve">Data Cleaning &amp; EDA</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sz w:val="21"/>
                <w:szCs w:val="21"/>
              </w:rPr>
              <w:t xml:space="preserve">Python — Pandas, NumPy, Matplotlib, Seaborn (Google Colab)</w:t>
            </w:r>
          </w:p>
        </w:tc>
      </w:tr>
      <w:tr>
        <w:tc>
          <w:tcPr>
            <w:tcW w:type="dxa" w:w="3120"/>
            <w:tcBorders>
              <w:top w:val="single" w:color="CCCCCC" w:sz="1"/>
              <w:left w:val="single" w:color="CCCCCC" w:sz="1"/>
              <w:bottom w:val="single" w:color="CCCCCC" w:sz="1"/>
              <w:right w:val="single" w:color="CCCCCC" w:sz="1"/>
            </w:tcBorders>
            <w:shd w:fill="D9E6F2" w:val="clear"/>
            <w:tcMar>
              <w:top w:type="dxa" w:w="90"/>
              <w:left w:type="dxa" w:w="120"/>
              <w:bottom w:type="dxa" w:w="90"/>
              <w:right w:type="dxa" w:w="120"/>
            </w:tcMar>
            <w:vAlign w:val="center"/>
          </w:tcPr>
          <w:p>
            <w:r>
              <w:rPr>
                <w:b/>
                <w:bCs/>
                <w:sz w:val="21"/>
                <w:szCs w:val="21"/>
              </w:rPr>
              <w:t xml:space="preserve">Data Analysis</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sz w:val="21"/>
                <w:szCs w:val="21"/>
              </w:rPr>
              <w:t xml:space="preserve">SQL — PostgreSQL via pgAdmin4</w:t>
            </w:r>
          </w:p>
        </w:tc>
      </w:tr>
      <w:tr>
        <w:tc>
          <w:tcPr>
            <w:tcW w:type="dxa" w:w="3120"/>
            <w:tcBorders>
              <w:top w:val="single" w:color="CCCCCC" w:sz="1"/>
              <w:left w:val="single" w:color="CCCCCC" w:sz="1"/>
              <w:bottom w:val="single" w:color="CCCCCC" w:sz="1"/>
              <w:right w:val="single" w:color="CCCCCC" w:sz="1"/>
            </w:tcBorders>
            <w:shd w:fill="D9E6F2" w:val="clear"/>
            <w:tcMar>
              <w:top w:type="dxa" w:w="90"/>
              <w:left w:type="dxa" w:w="120"/>
              <w:bottom w:type="dxa" w:w="90"/>
              <w:right w:type="dxa" w:w="120"/>
            </w:tcMar>
            <w:vAlign w:val="center"/>
          </w:tcPr>
          <w:p>
            <w:r>
              <w:rPr>
                <w:b/>
                <w:bCs/>
                <w:sz w:val="21"/>
                <w:szCs w:val="21"/>
              </w:rPr>
              <w:t xml:space="preserve">Dashboard</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sz w:val="21"/>
                <w:szCs w:val="21"/>
              </w:rPr>
              <w:t xml:space="preserve">Power BI Desktop (live PostgreSQL connection)</w:t>
            </w:r>
          </w:p>
        </w:tc>
      </w:tr>
      <w:tr>
        <w:tc>
          <w:tcPr>
            <w:tcW w:type="dxa" w:w="3120"/>
            <w:tcBorders>
              <w:top w:val="single" w:color="CCCCCC" w:sz="1"/>
              <w:left w:val="single" w:color="CCCCCC" w:sz="1"/>
              <w:bottom w:val="single" w:color="CCCCCC" w:sz="1"/>
              <w:right w:val="single" w:color="CCCCCC" w:sz="1"/>
            </w:tcBorders>
            <w:shd w:fill="D9E6F2" w:val="clear"/>
            <w:tcMar>
              <w:top w:type="dxa" w:w="90"/>
              <w:left w:type="dxa" w:w="120"/>
              <w:bottom w:type="dxa" w:w="90"/>
              <w:right w:type="dxa" w:w="120"/>
            </w:tcMar>
            <w:vAlign w:val="center"/>
          </w:tcPr>
          <w:p>
            <w:r>
              <w:rPr>
                <w:b/>
                <w:bCs/>
                <w:sz w:val="21"/>
                <w:szCs w:val="21"/>
              </w:rPr>
              <w:t xml:space="preserve">Version Control</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center"/>
          </w:tcPr>
          <w:p>
            <w:r>
              <w:rPr>
                <w:b w:val="false"/>
                <w:bCs w:val="false"/>
                <w:sz w:val="21"/>
                <w:szCs w:val="21"/>
              </w:rPr>
              <w:t xml:space="preserve">GitHub</w:t>
            </w:r>
          </w:p>
        </w:tc>
      </w:tr>
    </w:tbl>
    <w:p>
      <w:pPr>
        <w:spacing w:before="200"/>
      </w:pPr>
    </w:p>
    <w:p>
      <w:pPr>
        <w:pStyle w:val="Heading1"/>
      </w:pPr>
      <w:r>
        <w:t xml:space="preserve">7. Conclusion</w:t>
      </w:r>
    </w:p>
    <w:p>
      <w:pPr>
        <w:spacing w:after="160"/>
      </w:pPr>
      <w:r>
        <w:rPr>
          <w:i w:val="false"/>
          <w:iCs w:val="false"/>
          <w:sz w:val="22"/>
          <w:szCs w:val="22"/>
        </w:rPr>
        <w:t xml:space="preserve">This project demonstrates a complete, end-to-end data analytics workflow — from defining a business problem, through data cleaning and exploration in Python, query-based analysis in SQL, to a fully interactive Power BI dashboard. The findings give FoodExpress's management concrete, data-backed direction: where revenue is concentrated, when delivery delays are most likely, why orders get cancelled, what customers prefer, and who the most valuable customers are.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2026-06-29T12:24:16.491Z</dcterms:created>
  <dcterms:modified xsi:type="dcterms:W3CDTF">2026-06-29T12:24:16.493Z</dcterms:modified>
</cp:coreProperties>
</file>

<file path=docProps/custom.xml><?xml version="1.0" encoding="utf-8"?>
<Properties xmlns="http://schemas.openxmlformats.org/officeDocument/2006/custom-properties" xmlns:vt="http://schemas.openxmlformats.org/officeDocument/2006/docPropsVTypes"/>
</file>