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Comprehensive Mechanical Integrity &amp; Fitness-For-Service Assessment Report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Crude Distillation Unit (CDU-1) — Heat Exchanger E-204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Industrial Reliability &amp; Mechanical Integrity Division   |   </w:t>
      </w:r>
      <w:r>
        <w:rPr>
          <w:b/>
          <w:color w:val="64748B"/>
          <w:sz w:val="19"/>
        </w:rPr>
        <w:t xml:space="preserve">Date: </w:t>
      </w:r>
      <w:r>
        <w:t xml:space="preserve">27 September 2026   |   </w:t>
      </w:r>
      <w:r>
        <w:rPr>
          <w:b/>
          <w:color w:val="64748B"/>
          <w:sz w:val="19"/>
        </w:rPr>
        <w:t xml:space="preserve">Classification: </w:t>
      </w:r>
      <w:r>
        <w:t>Confidential • Strictly Air-Gapped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A formal 4-part fitness-for-service evaluation of Heat Exchanger E-204 per API 579-1. Evaluates ultrasonic thickness readings, corrosion rates, remaining safe operating life, and scheduled maintenance requirements.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 Executive Summary &amp; Facility Context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This comprehensive technical assessment report establishes the mechanical integrity and remaining safe operating lifespan for Heat Exchanger E-204 located within Crude Distillation Unit CDU-1.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All calculations adhere strictly to API 579-1 / ASME FFS-1 Fitness-For-Service standards, ASME Section VIII Division 1 Boiler and Pressure Vessel Code, and plant reliability mandates.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Assessment Standard: API 579-1 Part 4 (General Metal Loss) Level 1 Assessment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Operating Pressure: 18.2 bar design / 14.5 bar normal operating threshold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Operating Temperature: 185 deg C inlet / 130 deg C outlet</w:t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Ultrasonic Thickness Measurement (UTM) Empirical Data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Ultrasonic thickness inspection was completed on 18 September 2026 across 24 critical Thickness Measurement Locations (TMLs). The nominal specification is SA-516 Gr. 70 carbon steel with nominal wall thickness of 10.0 mm.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Summary of Critical TML Inspection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TML Tag</w:t>
            </w:r>
          </w:p>
        </w:tc>
        <w:tc>
          <w:tcPr>
            <w:tcW w:type="dxa" w:w="15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Location / Component</w:t>
            </w:r>
          </w:p>
        </w:tc>
        <w:tc>
          <w:tcPr>
            <w:tcW w:type="dxa" w:w="15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Nominal (mm)</w:t>
            </w:r>
          </w:p>
        </w:tc>
        <w:tc>
          <w:tcPr>
            <w:tcW w:type="dxa" w:w="15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Measured (mm)</w:t>
            </w:r>
          </w:p>
        </w:tc>
        <w:tc>
          <w:tcPr>
            <w:tcW w:type="dxa" w:w="15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Loss (mm)</w:t>
            </w:r>
          </w:p>
        </w:tc>
        <w:tc>
          <w:tcPr>
            <w:tcW w:type="dxa" w:w="15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Corrosion Rate (mm/yr)</w:t>
            </w:r>
          </w:p>
        </w:tc>
      </w:tr>
      <w:tr>
        <w:trPr>
          <w:cantSplit/>
        </w:trPr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TML-01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1 Top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0.08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TML-07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2 Bottom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0.12</w:t>
            </w:r>
          </w:p>
        </w:tc>
      </w:tr>
      <w:tr>
        <w:trPr>
          <w:cantSplit/>
        </w:trPr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TML-14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Channel Side Inlet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8.2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1.8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0.15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TML-19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Channel Side Return Nozzle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8.4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1.6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0.14</w:t>
            </w:r>
          </w:p>
        </w:tc>
      </w:tr>
      <w:tr>
        <w:trPr>
          <w:cantSplit/>
        </w:trPr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TML-24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Floating Head Cover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12.0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11.2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0.09</w:t>
            </w:r>
          </w:p>
        </w:tc>
      </w:tr>
    </w:tbl>
    <w:p>
      <w:pPr>
        <w:spacing w:before="120"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Mathematical Modeling &amp; Code Computations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minimum required retirement wall thickness (t_min) is determined per ASME Section VIII Division 1 UG-27 equation for cylindrical shells under internal design pressure: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Step 1: Compute circumferential hoop stress and minimum thickness requirement (7.0 mm).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Step 2: Establish remaining corrosion allowance across governing location TML-14 (1.2 mm).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3. Step 3: Compute remaining operating lifespan based on maximum observed corrosion rate (8.0 years).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API 579-1 Level 1 Calculation for Cylindrical Shell</w:t>
              <w:br/>
              <w:t>P = 18.2          # Design Pressure (bar)</w:t>
              <w:br/>
              <w:t>R = 600.0         # Inside Radius (mm)</w:t>
              <w:br/>
              <w:t>S = 138.0         # Allowable Stress for SA-516 Gr.70 (MPa)</w:t>
              <w:br/>
              <w:t>E = 1.0           # Joint Efficiency (Full Radiography)</w:t>
              <w:br/>
              <w:br/>
              <w:t># t_min = (P * R) / (S * E - 0.6 * P)</w:t>
              <w:br/>
              <w:t>t_min = (1.82 * 600.0) / (138.0 * 1.0 - 0.6 * 1.82)</w:t>
              <w:br/>
              <w:t># Result: t_min = 7.02 mm (Design Retirement Limit: 7.0 mm)</w:t>
              <w:br/>
              <w:t>remaining_ca = 8.2 - 7.0  # Remaining Corrosion Allowance = 1.2 mm</w:t>
              <w:br/>
              <w:t>remaining_life = remaining_ca / 0.15  # Remaining Life = 8.0 Years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4. Engineering Recommendations &amp; Action Plan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Heat Exchanger E-204 is approved for continued safe operation under current design conditions. However, the localized thinning at TML-14 requires increased inspection frequency.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An ultrasonic reinspection is scheduled for Q3 2027 to verify that corrosion rates do not accelerate.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Next Inspection Date: September 2027 (12-month interval)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Action Item: Install online ultrasonic corrosion monitoring sensors at TML-14 and TML-19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Corrosion Inhibitor: Maintain neutralizer dosing at CDU overhead accumulator to minimize acid condensation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• Strictly Air-Gapped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Comprehensive Mechanical Integrity &amp; Fitness-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