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H compares the map against the absolute error of the backbone output with respect to the clean reference on every test image and reports three quantities. The rank correlation between the map and the error, the sparsification error, and the expected calibration error after a single affine fit.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H states that the map predicts where a correction helps rather than how wrong the backbone is. The map is nevertheless load bearing. Replacing it by a constant lowers the contrast gain from plus 3.71 to plus 2.51 percent and worsens five of the six clinical measures, which is why we kept it and renamed it rather than removing it. The cooperation term in Section VIII A is the only place the map is trained toward a meaning. It rewards agreement between the map and the estimated correction potential, so the map is pushed to be high where the correction has room to act. Whether that coincides with backbone error is exactly what Section IX H measures.</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Two structural facts also bound the risk. The relative change from the backbone output is capped by the third safety constraint, and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J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C says which quantities were selected on validation. Only one is, the fidelity dead zone, together with the choice of background rule. Whether any of it does hidden work. Section IX E varies the base level, each rule weight, and the conjunction, and re evaluates. Across the fourteen variations no measure turns negative. The largest change in any clinical measure is 0.77 points, on contrast, produced by moving the base level to its lowest setting, and every rule weight and every budget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C states what was selected and how, file 06_training.</w:t>
      </w:r>
    </w:p>
    <w:p>
      <w:pPr>
        <w:pStyle w:val="ListBullet"/>
        <w:spacing w:after="40"/>
      </w:pPr>
      <w:r>
        <w:rPr>
          <w:sz w:val="21"/>
        </w:rPr>
        <w:t>Section IX E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The manuscript has been rewritten rather than proof read. Every section was rebuilt from the top down, which removed the errors along with the text that contained them. We also adopted three mechanical writing rules and enforced them with a script that runs over the source, namely no em dash, no colon and no semicolon in body prose. The script reports zero violations in the revised source. The same pass removed every use of the words experiment and experimental, which is Reviewer 3 comment 15.</w:t>
      </w:r>
    </w:p>
    <w:p>
      <w:pPr>
        <w:spacing w:before="120" w:after="40"/>
      </w:pPr>
      <w:r>
        <w:rPr>
          <w:b/>
          <w:sz w:val="21"/>
        </w:rPr>
        <w:t>Changes in the manuscript</w:t>
      </w:r>
    </w:p>
    <w:p>
      <w:pPr>
        <w:pStyle w:val="ListBullet"/>
        <w:spacing w:after="40"/>
      </w:pPr>
      <w:r>
        <w:rPr>
          <w:sz w:val="21"/>
        </w:rPr>
        <w:t>The whole manuscript was rewritten.</w:t>
      </w:r>
    </w:p>
    <w:p>
      <w:pPr>
        <w:pStyle w:val="ListBullet"/>
        <w:spacing w:after="40"/>
      </w:pPr>
      <w:r>
        <w:rPr>
          <w:sz w:val="21"/>
        </w:rPr>
        <w:t>revision/style_check.py in the released code enforces the rules.</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code is the authority.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C names the gate selected for each backbone. The adapted protocol is reported in the lower block of the same table, clearly labelled, so the gap between the two is visible. Table 3 now carries both. The no adaptation blocks give the mean over three seeds for all four backbones on Duke17 and Duke2013, with the seed spread shown in the fidelity column and encoded as bold in the clinical columns, and Table S6 of the supplementary file restores the spread of every clinical cell, and 40 of those 48 backbone by measure by set pairs are positive, with contrast rising in every one of the eight rows. The adapted block gives NAFNet on both sets from the leave one subject out rerun. The table generator reads the leave one subject out result files directly and refuses to emit the block if their recorded resume checkpoint is not the selected NAFNet model, so the two protocols in one table can never describe two different models.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released code,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C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three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I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A.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binding rather than advisory.</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released code.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E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E.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E,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four parts. Section VIII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A gives the five loss terms as Equations 14 to 18 with what each measures and why that form was chosen. Section VIII B gives the schedule, the two stages, the optimiser and the three learning rates, and Algorithm 1 of the supplementary file states the procedure step by step, including the seed, the dead zone and the frozen normalisation statistics of the backbone as explicit inputs. Section VIII C states how the operating point was chosen. Section VIII D gives initialisation and lists every constant with its origin in the main paper, marked fixed, measured, selected or learned. We also record the exact training command in the released code,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and initialisation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released code,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J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J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I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so the bound holds on every image and is not tight, which is the expected direction for a proof that is conservative rather than wrong.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and we have prepared the release the reviewer asks for. It contains the model code, the four correctors the revised paper reports with the background gate each was selected under, the split lists, the result file of every scored run, and one driver per table and per figure. The frozen backbones and the correctors of the submitted version are an archive attached to the release, since they are larger and never change. A manifest maps every table, figure and quoted number to the script and the result file that produced it. The result files themselves are included, so a reader can rebuild every table without running anything, and a script checks each of the defects listed at the start of this letter. We have not put a link in the manuscript, for one reason. The review is double blind and any repository we control identifies us, so a link now would breach the anonymity the process requires. We would rather say this plainly than give a link that either identifies us or points at an empty anonymised copy that cannot be maintained. The archive is ready and we will make it public under a permanent citable identifier on acceptance, and we are glad to supply it to the reviewers through the editorial office at any point in the review if the editor prefers that. Preparing this release is what led us to find the defects described at the start of this letter. The release documents each of them, what it affected, how it was fixed, and gives a script that checks each fix, because we think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and will be public under a permanent identifier on acceptance. No link appears in the manuscript during double blind review.</w:t>
      </w:r>
    </w:p>
    <w:p>
      <w:pPr>
        <w:pStyle w:val="ListBullet"/>
        <w:spacing w:after="40"/>
      </w:pPr>
      <w:r>
        <w:rPr>
          <w:sz w:val="21"/>
        </w:rPr>
        <w:t>The release includes the code, the weights, the data lists, the result files, and the scripts that regenerate every number.</w:t>
      </w:r>
    </w:p>
    <w:p>
      <w:pPr>
        <w:pStyle w:val="ListBullet"/>
        <w:spacing w:after="40"/>
      </w:pPr>
      <w:r>
        <w:rPr>
          <w:sz w:val="21"/>
        </w:rPr>
        <w:t>The release README documents the five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and released script.</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released code,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released code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G now says that this competitor is the same architecture with the same parameter budget and the same objective, trained for the same ten epochs, with the rule layer replaced by a uniform allocation for the whole of training rather than only at test time, and that it keeps the properties and the safety layer so that only one thing differs. The row is labelled uniform allocation, trained, and the paper says explicitly that it isolates the rule layer.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released code.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VIII D of the main paper. The budgets are fixed by the identity stated in Section V B rather than chosen, and their relative sizes preserve the ordering of the submitted version so the rule that dominated still dominates. The rule weights and the base level are learned. Section VIII C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 Section IX E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Section VIII D, file 06_training.</w:t>
      </w:r>
    </w:p>
    <w:p>
      <w:pPr>
        <w:pStyle w:val="ListBullet"/>
        <w:spacing w:after="40"/>
      </w:pPr>
      <w:r>
        <w:rPr>
          <w:sz w:val="21"/>
        </w:rPr>
        <w:t>Section VIII D, file 06_training.</w:t>
      </w:r>
    </w:p>
    <w:p>
      <w:pPr>
        <w:pStyle w:val="ListBullet"/>
        <w:spacing w:after="40"/>
      </w:pPr>
      <w:r>
        <w:rPr>
          <w:sz w:val="21"/>
        </w:rPr>
        <w:t>Section IX E,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K reports. This happens twice and we say so. The tissue contrast index of DnCNN has mean plus 0.99 percent with a seed to seed standard deviation of 1.32, and the edge preservation of KBNet has mean 0.00 percent with a standard deviation of 0.06.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K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I, see the response to comment 3.12. The Lipschitz constant is computed from the trained weights by a method of the released code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I,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