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anonymized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 file 07_results.</w:t>
      </w:r>
    </w:p>
    <w:p>
      <w:pPr>
        <w:pStyle w:val="ListBullet"/>
        <w:spacing w:after="40"/>
      </w:pPr>
      <w:r>
        <w:rPr>
          <w:sz w:val="21"/>
        </w:rPr>
        <w:t>The map is renamed a learned cooperation map in Sections III A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V F is new, file 07_results,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 file 07_results.</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 B says which quantities were selected on validation. Only one is, the fidelity dead zone, together with the choice of background rule. Whether any of it materially affects the result. Section V F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 file 04b_properties_allocation.</w:t>
      </w:r>
    </w:p>
    <w:p>
      <w:pPr>
        <w:pStyle w:val="ListBullet"/>
        <w:spacing w:after="40"/>
      </w:pPr>
      <w:r>
        <w:rPr>
          <w:sz w:val="21"/>
        </w:rPr>
        <w:t>Section V B states what was selected and how, file 06_training.</w:t>
      </w:r>
    </w:p>
    <w:p>
      <w:pPr>
        <w:pStyle w:val="ListBullet"/>
        <w:spacing w:after="40"/>
      </w:pPr>
      <w:r>
        <w:rPr>
          <w:sz w:val="21"/>
        </w:rPr>
        <w:t>Section V F is the sensitivity study, file 07_results,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 file 02_related.</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 file 07_results.</w:t>
      </w:r>
    </w:p>
    <w:p>
      <w:pPr>
        <w:pStyle w:val="ListBullet"/>
        <w:spacing w:after="40"/>
      </w:pPr>
      <w:r>
        <w:rPr>
          <w:sz w:val="21"/>
        </w:rPr>
        <w:t>Table 3 has labeled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 B reports how the result moves with it.</w:t>
      </w:r>
    </w:p>
    <w:p>
      <w:pPr>
        <w:spacing w:before="120" w:after="40"/>
      </w:pPr>
      <w:r>
        <w:rPr>
          <w:b/>
          <w:sz w:val="21"/>
        </w:rPr>
        <w:t>Changes in the manuscript</w:t>
      </w:r>
    </w:p>
    <w:p>
      <w:pPr>
        <w:pStyle w:val="ListBullet"/>
        <w:spacing w:after="40"/>
      </w:pPr>
      <w:r>
        <w:rPr>
          <w:sz w:val="21"/>
        </w:rPr>
        <w:t>Section VI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 11, file 05_stability.</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five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Section V F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V F.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III B defines the six properties, file 04b_properties_allocation, and Table 2 is in 04c_bounded_safety.</w:t>
      </w:r>
    </w:p>
    <w:p>
      <w:pPr>
        <w:pStyle w:val="ListBullet"/>
        <w:spacing w:after="40"/>
      </w:pPr>
      <w:r>
        <w:rPr>
          <w:sz w:val="21"/>
        </w:rPr>
        <w:t>Section V F and Section V F,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file 06_training.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 file 07_results.</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 file 07_results.</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anonymized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are fixed by the identity stated in Section III C rather than chosen,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now names all ten and the weights that do reach the loss are printed in Equations 14 to 19. The release documents that. Section V F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file 04b_properties_allocation, and Section V B, file 06_training.</w:t>
      </w:r>
    </w:p>
    <w:p>
      <w:pPr>
        <w:pStyle w:val="ListBullet"/>
        <w:spacing w:after="40"/>
      </w:pPr>
      <w:r>
        <w:rPr>
          <w:sz w:val="21"/>
        </w:rPr>
        <w:t>Section V B, file 06_training.</w:t>
      </w:r>
    </w:p>
    <w:p>
      <w:pPr>
        <w:pStyle w:val="ListBullet"/>
        <w:spacing w:after="40"/>
      </w:pPr>
      <w:r>
        <w:rPr>
          <w:sz w:val="21"/>
        </w:rPr>
        <w:t>Section V F,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V K is new, file 07_results.</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 file 07_results.</w:t>
      </w:r>
    </w:p>
    <w:p>
      <w:pPr>
        <w:pStyle w:val="ListBullet"/>
        <w:spacing w:after="40"/>
      </w:pPr>
      <w:r>
        <w:rPr>
          <w:sz w:val="21"/>
        </w:rPr>
        <w:t>The closing paragraph of Section IV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