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normalisation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 link during review without identifying ourselves, so it goes public under a permanent citable identifier on acceptance, and we will supply it to the editorial office in any anonymised form the office prefers.</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S1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materially affects the result. Section IX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VIII B gives the schedule, the two stages, the optimiser and the three learning rates, and Algorithm 1 of the supplementary file states the procedure step by step. The seed, the dead zone and the frozen normalisation statistics are given in the text around it rather than as inputs of the algorithm itself. Section VIII C states how the operating point was chosen. Section VIII D gives initialisation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anonymised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E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labelled uniform allocation, trained. The second and third are classical operators, unsharp masking and contrast limited adaptive histogram equalisation,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VIII C now names all ten and the weights that do reach the loss are printed in Equations 14 to 19.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IX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