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initializer after 2082 optimizer steps.</w:t>
      </w:r>
    </w:p>
    <w:p>
      <w:pPr>
        <w:ind w:left="0"/>
        <w:jc w:val="both"/>
      </w:pPr>
      <w:r>
        <w:rPr>
          <w:b w:val="0"/>
          <w:i w:val="0"/>
          <w:sz w:val="21"/>
        </w:rPr>
        <w:t>The consequence is that the symbolic layer described in Section III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 reports the realized ratio measured against it on real images.</w:t>
      </w:r>
    </w:p>
    <w:p>
      <w:pPr>
        <w:ind w:left="0"/>
        <w:jc w:val="both"/>
      </w:pPr>
      <w:r>
        <w:rPr>
          <w:b w:val="0"/>
          <w:i w:val="0"/>
          <w:sz w:val="21"/>
        </w:rPr>
        <w:t>Instrumenting the code for the release exposed five further defects in how the submitted models were trained and selected, and we list them here rather than in the individual answers. First, ten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normalization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Fifth, on a graphics processor the script compiled the corrector for training while every scoring script ran it eagerly, which moved the frozen reference of DnCNN and SwinIR by about a sixth of the size of the correction itself. All five are fixed. Every source of randomness is now seeded, every setting is trained at three seeds and selected on its worst seed, the normalization statistics are held fixed, the cache runs at full resolution, compilation is disabled on every path,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behavior remains reproducible through a documented switch, so the numbers in the submitted version can still be recovered from the released code.</w:t>
      </w:r>
    </w:p>
    <w:p>
      <w:pPr>
        <w:ind w:left="0"/>
        <w:jc w:val="both"/>
      </w:pPr>
      <w:r>
        <w:rPr>
          <w:b w:val="0"/>
          <w:i w:val="0"/>
          <w:sz w:val="21"/>
        </w:rPr>
        <w:t>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only protocol of the main paper. Reading the objective line by line against the code found three more. The clinical term is a weighted one sided penalty against a target taken from the backbone, over nine quantities and not a sum of two log ratios, and the tissue contrast index is not among the nine. The edge term is weighted toward the edges of the clean reference and carries two further parts. A sixth term of bounds and background protection, eight penalties in all, was active in training and absent from the printed objective. All of them now appear with their constants in Equations 14 to 19, and the property term was corrected in the same way.</w:t>
      </w:r>
    </w:p>
    <w:p>
      <w:pPr>
        <w:ind w:left="0"/>
        <w:jc w:val="both"/>
      </w:pPr>
      <w:r>
        <w:rPr>
          <w:b w:val="0"/>
          <w:i w:val="0"/>
          <w:sz w:val="21"/>
        </w:rPr>
        <w:t>The manuscript has been rewritten rather than patched. It is now organized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five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main paper now reports transfer with no adaptation of any kind and nothing else. The adapted protocol of the original submission keeps, in each fold, the epoch that scores best on the subject that fold then reports, so it is reported only in the supplementary file and labeled a historical diagnostic.</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optimization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Prepared the release, the code, the trained weights, the result file of every scored run and one driver per table and per figure, with a manifest that maps every quoted number to the script that produced it. We cannot give access during review without identifying ourselves, so it goes public under a permanent citable identifier on acceptance. The manuscript is written to be checkable without it, with every formula given in closed form and every defect we found described with what it affected.</w:t>
      </w:r>
    </w:p>
    <w:p>
      <w:pPr>
        <w:pStyle w:val="ListNumber"/>
      </w:pPr>
      <w:r>
        <w:rPr>
          <w:sz w:val="21"/>
        </w:rPr>
        <w:t>Read the objective line by line against the training code and corrected three statements it did not support. The clinical term runs over nine quantities as a weighted one sided penalty against a target taken from the backbone, the edge term is weighted toward the clean edges and carries three parts, and a sixth term of bounds and background protection that was active in training is now printed. Ten weight flags are parsed and never used, not three.</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V H compares the map against the absolute error of the backbone output with respect to the clean reference on every test image. The quantity tested is the demand map $u = 1 - c$, the one the wrapper acts on, and two diagnostics are reported, the rank correlation and the sparsification error. The answer is that the map does not carry the meaning the submitted paper claimed. The pooled rank correlation between the map and the backbone error over the 173 test images is minus 0.258, so the map is not merely uninformative but ordered the wrong way. The sparsification test agrees. Removing the pixels the map ranks as least reliable raises the remaining error to 1.88 times its starting value, against an oracle ranking that reaches 0.07, so the sparsification error is 0.776. We do not report an expected calibration error, since the map is not a probability and no calibration target is defined for it. The component is renamed a learned cooperation map throughout the paper, the word calibrated is not used of the map anywhere, and Section V H states that the map predicts where a correction helps rather than how wrong the backbone is. The map is nevertheless contributing measurably to the result. Replacing it by a constant lowers the contrast gain from plus 3.71 to plus 2.51 percent and worsens five of the six clinical measures, which is why we kept it and renamed it rather than removing it. The cooperation term in Section V A is the only place the map is trained toward a meaning. It rewards agreement between the map and the estimated correction potential, so the map is pushed to be high where the correction has room to act. Whether that coincides with backbone error is exactly what Section V H measures.</w:t>
      </w:r>
    </w:p>
    <w:p>
      <w:pPr>
        <w:spacing w:before="120" w:after="40"/>
      </w:pPr>
      <w:r>
        <w:rPr>
          <w:b/>
          <w:sz w:val="21"/>
        </w:rPr>
        <w:t>Changes in the manuscript</w:t>
      </w:r>
    </w:p>
    <w:p>
      <w:pPr>
        <w:pStyle w:val="ListBullet"/>
        <w:spacing w:after="40"/>
      </w:pPr>
      <w:r>
        <w:rPr>
          <w:sz w:val="21"/>
        </w:rPr>
        <w:t>Section V H is new.</w:t>
      </w:r>
    </w:p>
    <w:p>
      <w:pPr>
        <w:pStyle w:val="ListBullet"/>
        <w:spacing w:after="40"/>
      </w:pPr>
      <w:r>
        <w:rPr>
          <w:sz w:val="21"/>
        </w:rPr>
        <w:t>The map is renamed a learned cooperation map in Section III A and everywhere else it appears, and the word calibrated is removed from the paper.</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V F removes one property at a time at test time, which sets its score to the satisfied value and its failure map to zero, and re evaluates the whole 173 image test set with the reported NAFNet model. Fig. S1 of the supplementary file draws the result and the full table is in the supplementary file. The honest summary is that the six properties are not equally important. The costliest single removal is the speckle conformity property P5, which takes 3.19 points of the equivalent number of looks gain, 1.28 points of boundary sharpness and 0.94 points of the tissue contrast index. Removing the edge continuity property P1 costs 1.72 points of the speckle gain and 0.45 points of the signal to noise gain. Removing the local contrast property P2 costs 0.74 points of the speckle gain and leaves contrast unchanged, at plus 0.12 points. Removing P3 or P6 changes no measure by more than 0.23 points, on the speckle gain for $P_6$, and removing P4 changes no measure by more than 0.04 points. All numbers above were recomputed on the selected checkpoint, the seed 0 model of the tissue bounded gate setting at dead zone 0.6, which is the model Table 3 reports and Table 5 studies. The six failure maps themselves are now Fig. 2 of the main paper, moved in from the supplementary file so a reader can see what each property is looking at before reading what removing it costs. The earlier version of this study had been run on a different checkpoint, and we corrected that before quoting it. 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We stop short of saying that P3, P4 and P6 can be dropped together, since each number above comes from removing one property on its own and we did not measure the three removed at once.</w:t>
      </w:r>
    </w:p>
    <w:p>
      <w:pPr>
        <w:spacing w:before="120" w:after="40"/>
      </w:pPr>
      <w:r>
        <w:rPr>
          <w:b/>
          <w:sz w:val="21"/>
        </w:rPr>
        <w:t>Changes in the manuscript</w:t>
      </w:r>
    </w:p>
    <w:p>
      <w:pPr>
        <w:pStyle w:val="ListBullet"/>
        <w:spacing w:after="40"/>
      </w:pPr>
      <w:r>
        <w:rPr>
          <w:sz w:val="21"/>
        </w:rPr>
        <w:t>Section V F is new, and Fig. S1 of the supplementary file.</w:t>
      </w:r>
    </w:p>
    <w:p>
      <w:pPr>
        <w:pStyle w:val="ListBullet"/>
        <w:spacing w:after="40"/>
      </w:pPr>
      <w:r>
        <w:rPr>
          <w:sz w:val="21"/>
        </w:rPr>
        <w:t>The full leave one out table is in the supplementary file, generated as tab_lopo.tex.</w:t>
      </w:r>
    </w:p>
    <w:p>
      <w:pPr>
        <w:pStyle w:val="ListBullet"/>
        <w:spacing w:after="40"/>
      </w:pPr>
      <w:r>
        <w:rPr>
          <w:sz w:val="21"/>
        </w:rPr>
        <w:t>Section VI B,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V J is new and measures the risk directly, using the clean reference that PKU37 provides. Four quantities are reported over the whole test set. The rate at which an edge appears in the corrected image where the reference has none, before and after correction. The rate rises, from 0.45 percent of pixels for the backbone output to 0.48 percent after correction, an increase on 127 of the 173 images. We report this as a cost rather than presenting it as a null result. The retention of weak structures, defined as structures whose contrast in the reference lies in the lowest decile, before and after correction. Retention falls, from 40.5 percent to 37.6 percent, on 168 of the 173 images. This is the clearest cost of the method on this test set and we state it in the results and in the limitations. The behavior inside dark fluid like regions enclosed by tissue, reported as the fraction of the image they occupy and the mean absolute change inside them. Dark regions occupy 1.6 percent of the image area and the mean absolute change inside them is 0.0022, against 0.0067 over the whole image, so the correction is about three times quieter where a hypodense region carries the finding. The largest change on any single image across the test set, and the shift of the two strongest layer boundaries. The mean absolute change over the whole image is 0.0067 and the largest change on any single image is 0.0178. The mean absolute shift of the inner limiting membrane goes from 4.73 to 4.38 pixels and of the retinal pigment epithelium from 9.93 to 10.03 pixels, so the first improves and the second is unchanged within the spread across images. Both happened, and we have done exactly that. The first sentence of Section V J now states that the correction raises the invented edge rate and lowers weak structure retention, both by small but significant amounts, and the limitations name both. We did not soften either, and we did not reselect the model to avoid them, because the selection criterion was fixed on the validation split before the test set was scored. One structural fact bounds the risk. The gate suppresses change in the dark region, so a boundary can only be moved by the additive edge branch within that cap. Section VI B states plainly that no clinician read these images and that a reader study is the correct next step. We also asked whether the criterion that selected the operating point is blind to these two measures, since it scores six clinical measures and fidelity and neither of the safety measures. It is. Measured on the validation split, so that the test split is used once, the setting the criterion ranked second for NAFNet raises weak structure retention from 40.7 to 43.9 percent where the selected setting lowers it to 37.7, and adds less to the invented edge rate. We report this in the limitations and we did not reselect on it, because the criterion was fixed before the test split was scored and changing it afterwards would spend that split twice.</w:t>
      </w:r>
    </w:p>
    <w:p>
      <w:pPr>
        <w:spacing w:before="120" w:after="40"/>
      </w:pPr>
      <w:r>
        <w:rPr>
          <w:b/>
          <w:sz w:val="21"/>
        </w:rPr>
        <w:t>Changes in the manuscript</w:t>
      </w:r>
    </w:p>
    <w:p>
      <w:pPr>
        <w:pStyle w:val="ListBullet"/>
        <w:spacing w:after="40"/>
      </w:pPr>
      <w:r>
        <w:rPr>
          <w:sz w:val="21"/>
        </w:rPr>
        <w:t>Section V J is new.</w:t>
      </w:r>
    </w:p>
    <w:p>
      <w:pPr>
        <w:pStyle w:val="ListBullet"/>
        <w:spacing w:after="40"/>
      </w:pPr>
      <w:r>
        <w:rPr>
          <w:sz w:val="21"/>
        </w:rPr>
        <w:t>Fig. S1 of the supplementary file draws the safety quantities.</w:t>
      </w:r>
    </w:p>
    <w:p>
      <w:pPr>
        <w:pStyle w:val="ListBullet"/>
        <w:spacing w:after="40"/>
      </w:pPr>
      <w:r>
        <w:rPr>
          <w:sz w:val="21"/>
        </w:rPr>
        <w:t>Section VI B states that no expert reading was performed.</w:t>
      </w:r>
    </w:p>
    <w:p>
      <w:pPr>
        <w:pStyle w:val="ListBullet"/>
        <w:spacing w:after="40"/>
      </w:pPr>
      <w:r>
        <w:rPr>
          <w:sz w:val="21"/>
        </w:rPr>
        <w:t>Section VI B states both regressions and reports the validation measurement of what the selection criterion does not see.</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 What the constants were. The weights 1.5 and 2.0 in the submitted paper were the initial values of learnable parameters that never moved, because the rule layer was saturated and received no gradient. They were not chosen at all. What they are now. Section III C states the allocation rule in full. The five budgets are fixed by one identity, that the base ceiling plus the positive budgets equals one and the base floor minus the negative budgets equals zero, which keeps the allocation inside the unit interval without clipping and lets the rule weights train. The rule weights themselves are learned, and Section V B says which quantities were selected on validation. Only one is, the fidelity dead zone, together with the choice of background rule. Whether any of it materially affects the result. Section V F varies the base level, the two rule weights that carry the allocation, and the conjunction, and re evaluates, with the budgets held fixed throughout by the identity above. Across the fourteen variations no measure turns negative. The largest change in any clinical measure is 0.77 points, on contrast, produced by moving the base level to its lowest setting. The budgets are tied by the identity that keeps the allocation inside the unit interval, so they are held fixed and we vary the base level and the two rule weights that carry the allocation, each of which moves the result by less than 0.2 points. Replacing the Lukasiewicz conjunction by the product moves contrast from plus 3.71 to plus 3.54 percent and by the minimum to plus 3.47 percent, with the other five measures within one part in fifty, so the two alternatives do differ but only slightly. We take the first branch and state both sides of it. One constant matters, the base allocation level, and lowering it trades fidelity for contrast in the direction the design predicts. Everything else, including the choice of conjunction, moves the result very little. We say in the paper that this means the result rests on the shape of the rule layer rather than on the particular logic, which is a reassurance about robustness and a limitation on how much the specific fuzzy calculus can be claimed to contribute.</w:t>
      </w:r>
    </w:p>
    <w:p>
      <w:pPr>
        <w:spacing w:before="120" w:after="40"/>
      </w:pPr>
      <w:r>
        <w:rPr>
          <w:b/>
          <w:sz w:val="21"/>
        </w:rPr>
        <w:t>Changes in the manuscript</w:t>
      </w:r>
    </w:p>
    <w:p>
      <w:pPr>
        <w:pStyle w:val="ListBullet"/>
        <w:spacing w:after="40"/>
      </w:pPr>
      <w:r>
        <w:rPr>
          <w:sz w:val="21"/>
        </w:rPr>
        <w:t>Section III C states the allocation rule and the identity that fixes its budgets.</w:t>
      </w:r>
    </w:p>
    <w:p>
      <w:pPr>
        <w:pStyle w:val="ListBullet"/>
        <w:spacing w:after="40"/>
      </w:pPr>
      <w:r>
        <w:rPr>
          <w:sz w:val="21"/>
        </w:rPr>
        <w:t>Section V B states what was selected and how.</w:t>
      </w:r>
    </w:p>
    <w:p>
      <w:pPr>
        <w:pStyle w:val="ListBullet"/>
        <w:spacing w:after="40"/>
      </w:pPr>
      <w:r>
        <w:rPr>
          <w:sz w:val="21"/>
        </w:rPr>
        <w:t>Section V F is the sensitivity study, and Fig. S1 of the supplementary file.</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The related work is now Section I C, and its third part,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knowledge graph attached to a learned model for corneal topography. The second is fuzzy rule systems embedded inside networks, including rough fuzzy discretization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 Thirteen works are now cited and discussed in that subsection, ten of them added in this revision. Section I C positions our method against them and Section VI B says what the correction layer buys.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 C is new.</w:t>
      </w:r>
    </w:p>
    <w:p>
      <w:pPr>
        <w:pStyle w:val="ListBullet"/>
        <w:spacing w:after="40"/>
      </w:pPr>
      <w:r>
        <w:rPr>
          <w:sz w:val="21"/>
        </w:rPr>
        <w:t>Eleven references added.</w:t>
      </w:r>
    </w:p>
    <w:p>
      <w:pPr>
        <w:pStyle w:val="ListBullet"/>
        <w:spacing w:after="40"/>
      </w:pPr>
      <w:r>
        <w:rPr>
          <w:sz w:val="21"/>
        </w:rPr>
        <w:t>Section VI B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Thank you. The manuscript and the supplementary file have been revised for grammar, terminology, notation and sentence clarity rather than proof read in place. We also checked the section references, the figure captions and the tables against the built documents, so every pointer resolves to the place it names. The words experiment and experimental have been removed throughout, which is Reviewer 3 comment 15.</w:t>
      </w:r>
    </w:p>
    <w:p>
      <w:pPr>
        <w:spacing w:before="120" w:after="40"/>
      </w:pPr>
      <w:r>
        <w:rPr>
          <w:b/>
          <w:sz w:val="21"/>
        </w:rPr>
        <w:t>Changes in the manuscript</w:t>
      </w:r>
    </w:p>
    <w:p>
      <w:pPr>
        <w:pStyle w:val="ListBullet"/>
        <w:spacing w:after="40"/>
      </w:pPr>
      <w:r>
        <w:rPr>
          <w:sz w:val="21"/>
        </w:rPr>
        <w:t>The manuscript and supplementary file were revised for language, notation and clarity.</w:t>
      </w:r>
    </w:p>
    <w:p>
      <w:pPr>
        <w:pStyle w:val="ListBullet"/>
        <w:spacing w:after="40"/>
      </w:pPr>
      <w:r>
        <w:rPr>
          <w:sz w:val="21"/>
        </w:rPr>
        <w:t>Every section, table, figure and equation reference was checked against the built documents.</w:t>
      </w:r>
    </w:p>
    <w:p>
      <w:pPr>
        <w:pStyle w:val="ListBullet"/>
        <w:spacing w:after="40"/>
      </w:pPr>
      <w:r>
        <w:rPr>
          <w:sz w:val="21"/>
        </w:rPr>
        <w:t>The words experiment and experimental do not appear in either document.</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implementation audit settled it.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 We corrected this in the strongest way available, which is to make the honest protocol the primary one. Section V C, under the heading Transfer protocol, states the protocol exactly. Table 4 reports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The selected NAFNet setting does use the tissue bounded gate, so that sentence was changed. It now says that no Duke statistic is used to select anything beyond the per image quantity the gate itself computes, by the same rule already applied on PKU37, which is true of both members of the gate family. Section V B names the gate selected for each backbone. The revision also splits the single merged table of the first revision into three. Table 3 is the test set, Table 4 the transfer with nothing refitted, and Table 5 the component removals and the alternative operators. Table 4 gives the mean over three seeds for all four backbones on both target sets, with the seed spread in the fidelity column and encoded as bold in the clinical columns, and Table S6 of the supplementary file restores the spread of every clinical cell. Of those 48 backbone by measure by set pairs 40 are positive, with contrast rising in every one of the eight rows. The adapted protocol is reported only in Table S7 of the supplementary file. Each of its folds keeps the epoch that scores best on the subject it then reports, so those numbers are selected on the data they describe. We label them a historical diagnostic and do not use them to argue what adaptation achieves.</w:t>
      </w:r>
    </w:p>
    <w:p>
      <w:pPr>
        <w:spacing w:before="120" w:after="40"/>
      </w:pPr>
      <w:r>
        <w:rPr>
          <w:b/>
          <w:sz w:val="21"/>
        </w:rPr>
        <w:t>Changes in the manuscript</w:t>
      </w:r>
    </w:p>
    <w:p>
      <w:pPr>
        <w:pStyle w:val="ListBullet"/>
        <w:spacing w:after="40"/>
      </w:pPr>
      <w:r>
        <w:rPr>
          <w:sz w:val="21"/>
        </w:rPr>
        <w:t>Section V C, under the heading Transfer protocol, is new.</w:t>
      </w:r>
    </w:p>
    <w:p>
      <w:pPr>
        <w:pStyle w:val="ListBullet"/>
        <w:spacing w:after="40"/>
      </w:pPr>
      <w:r>
        <w:rPr>
          <w:sz w:val="21"/>
        </w:rPr>
        <w:t>Table 4 is the frozen transfer and Table S7 of the supplementary file is the adapted protocol, kept as a historical diagnostic.</w:t>
      </w:r>
    </w:p>
    <w:p>
      <w:pPr>
        <w:pStyle w:val="ListBullet"/>
        <w:spacing w:after="40"/>
      </w:pPr>
      <w:r>
        <w:rPr>
          <w:sz w:val="21"/>
        </w:rPr>
        <w:t>Both protocols have a driver in the release,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VI A is new and explains the trade off and when it is worth accepting. A denoiser trained on squared error already sits near a local optimum of that error, so a change that raises contrast or boundary definition generally moves away from it. We now report this as an observed average rather than a rule. Fidelity falls in the mean on all four backbones, from 0.17 dB on SwinIR to 0.98 dB on DnCNN, and it does not fall on every image, since the NAFNet panel of Fig. 3 gains 0.02 dB while its contrast rises. What we claim is the trade the means describe, an average cost under one decibel against gains in the quantities a grader uses to place a boundary or judge a fluid pocket. We have removed the comparison with the variation between two acquisitions of the same eye, since we did not measure that variation on this data and should not have asserted it. 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VI A explains the remaining drop by the windowed attention, which smooths aggressively inside a window and so gives away the most contrast for the correction to restore. The safety layer already provides the control for a deployment that cannot accept any loss. Tightening the third constraint reduces the admitted change and the output moves back toward the backbone. The dead zone of the fidelity term is the training time counterpart, and Section V B reports how the result moves with it. We have also withdrawn the suggestion that tightening the third constraint moves the output back toward the backbone. It does not, because the rule accepts the candidate in full whenever any two of the three constraints hold, so tightening one of them changes nothing while the other two are satisfied. A deployment that must lose less fidelity should lower the gain bound instead.</w:t>
      </w:r>
    </w:p>
    <w:p>
      <w:pPr>
        <w:spacing w:before="120" w:after="40"/>
      </w:pPr>
      <w:r>
        <w:rPr>
          <w:b/>
          <w:sz w:val="21"/>
        </w:rPr>
        <w:t>Changes in the manuscript</w:t>
      </w:r>
    </w:p>
    <w:p>
      <w:pPr>
        <w:pStyle w:val="ListBullet"/>
        <w:spacing w:after="40"/>
      </w:pPr>
      <w:r>
        <w:rPr>
          <w:sz w:val="21"/>
        </w:rPr>
        <w:t>Section VI A is new.</w:t>
      </w:r>
    </w:p>
    <w:p>
      <w:pPr>
        <w:pStyle w:val="ListBullet"/>
        <w:spacing w:after="40"/>
      </w:pPr>
      <w:r>
        <w:rPr>
          <w:sz w:val="21"/>
        </w:rPr>
        <w:t>The SwinIR reference mismatch is stated and corrected, see the opening of this letter.</w:t>
      </w:r>
    </w:p>
    <w:p>
      <w:pPr>
        <w:pStyle w:val="ListBullet"/>
        <w:spacing w:after="40"/>
      </w:pPr>
      <w:r>
        <w:rPr>
          <w:sz w:val="21"/>
        </w:rPr>
        <w:t>Section V B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four new ideas, each with a pointer to the section that delivers it. They are the statement of post correction as a constrained optimization problem, the six clinical properties in closed form, the fuzzy allocation rule with a proved and measured sensitivity bound, the safety layer that decides how much of a proposal to keep, and transfer evidence that separates transfer without training from transfer with adaptation. The list also says what is not new. Edge filters, confidence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 The bibliography gives volume, issue, pages and year for every entry and no digital object identifiers, which is the style used throughout. 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III C now gives Definition 1 before the theorem and says what the word does not mean here. It is not stability in the sense of Lyapunov and we claim no fixed point. The definition, Equation 5, is Lipschitz stability of the allocation with respect to the vector of the five rule truth values in the maximum norm, and its constant is Equation 6.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V I then measures the realized ratio on real images against the constant.</w:t>
      </w:r>
    </w:p>
    <w:p>
      <w:pPr>
        <w:spacing w:before="120" w:after="40"/>
      </w:pPr>
      <w:r>
        <w:rPr>
          <w:b/>
          <w:sz w:val="21"/>
        </w:rPr>
        <w:t>Changes in the manuscript</w:t>
      </w:r>
    </w:p>
    <w:p>
      <w:pPr>
        <w:pStyle w:val="ListBullet"/>
        <w:spacing w:after="40"/>
      </w:pPr>
      <w:r>
        <w:rPr>
          <w:sz w:val="21"/>
        </w:rPr>
        <w:t>Section III C, Definition 1 and Equation 11.</w:t>
      </w:r>
    </w:p>
    <w:p>
      <w:pPr>
        <w:pStyle w:val="ListBullet"/>
        <w:spacing w:after="40"/>
      </w:pPr>
      <w:r>
        <w:rPr>
          <w:sz w:val="21"/>
        </w:rPr>
        <w:t>Section V I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 B is new and states the problem in the standard form. The decision variables are the wrapper parameters, with the backbone parameters held fixed. The objective is the expectation over paired data of a weighted sum of six terms, Equation 1, each of which is defined in Section V A. The three constraints are stated and then given formally in Section IV B. The problem is solved by mini batch stochastic gradient descent with AdamW, which is possible because every logical connective is replaced by a smooth piecewise linear surrogate. The reviewer notes that optimization could be well linked to learning, and we have made that link explicit. The constraints are handled in two ways that the section now distinguishes. During training they enter the objective as penalties, which is the learning part. At test time they are evaluated exactly on each image and the number that hold decides how much of the proposed change is applied, which is what makes them used to set the blend weight through the majority rule.</w:t>
      </w:r>
    </w:p>
    <w:p>
      <w:pPr>
        <w:spacing w:before="120" w:after="40"/>
      </w:pPr>
      <w:r>
        <w:rPr>
          <w:b/>
          <w:sz w:val="21"/>
        </w:rPr>
        <w:t>Changes in the manuscript</w:t>
      </w:r>
    </w:p>
    <w:p>
      <w:pPr>
        <w:pStyle w:val="ListBullet"/>
        <w:spacing w:after="40"/>
      </w:pPr>
      <w:r>
        <w:rPr>
          <w:sz w:val="21"/>
        </w:rPr>
        <w:t>Section II B is new.</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 A is new and fixes it. Every symbol is now defined in words at its first use. Table 1 collects the symbols that recur across sections, in the order in which the paper introduces them, and a symbol used in one place only is defined in the sentence that introduces it.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 A and Table 1.</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 A.</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 Justification. Table 2 gives, for each of the six properties, the clinical failure it names, its aggregate score and its failure map in closed form, where the map is large, and its threshold. The named subterms are expanded in Section S1 of the supplementary file, which is the one pointer the property definitions still make. The scores are all computed from the noisy input and the backbone output alone and each is written as a formula so it can be recomputed from the release. The mathematical reason for the form of each is given in the text of Section III B. Sensitivity. Section V F reports the leave one property out study, see the response to Reviewer 1 comment 2, which found that P1, P2 and P5 carry almost all of the effect on PKU37 and that P3, P4 and P6 are close to inert. The same subsection varies the constants of the rule layer that consume the properties, see the response to comment 3.17. The failure maps enter the allocation only through rule 3, so the sensitivity of the correction to each map is the sensitivity to the budget of that rule. For that budget we varied its weight over four settings and the contrast gain moved from plus 3.87 to plus 3.68 percent while every other measure moved by less than 0.2 points, so the correction is not sensitive to that budget.</w:t>
      </w:r>
    </w:p>
    <w:p>
      <w:pPr>
        <w:spacing w:before="120" w:after="40"/>
      </w:pPr>
      <w:r>
        <w:rPr>
          <w:b/>
          <w:sz w:val="21"/>
        </w:rPr>
        <w:t>Changes in the manuscript</w:t>
      </w:r>
    </w:p>
    <w:p>
      <w:pPr>
        <w:pStyle w:val="ListBullet"/>
        <w:spacing w:after="40"/>
      </w:pPr>
      <w:r>
        <w:rPr>
          <w:sz w:val="21"/>
        </w:rPr>
        <w:t>Section III B defines the six properties, and Table 2 is in 04c_bounded_safety.</w:t>
      </w:r>
    </w:p>
    <w:p>
      <w:pPr>
        <w:pStyle w:val="ListBullet"/>
        <w:spacing w:after="40"/>
      </w:pPr>
      <w:r>
        <w:rPr>
          <w:sz w:val="21"/>
        </w:rPr>
        <w:t>Section V F and Section V F.</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The training account is new and is now the first part of Section V, which holds the training, the tests and the results together. Section V B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 Section V A gives the six loss terms as Equations 14 to 19 with what each measures and why that form was chosen. Preparing this revision we read the objective of the submitted paper against the training code and found three mismatches. The clinical term is a weighted one sided penalty against a target taken from the backbone and not a sum of log ratios, it runs over nine quantities and not two, the edge term is weighted toward the clean edges and carries two further parts, and a sixth term of bounds and background protection was missing from the objective altogether. All three are corrected, with every weight and constant printed. Section V B gives the schedule, the two stages, the optimizer and the three learning rates, and Algorithm 1 of the supplementary file states the procedure step by step. The seed, the dead zone and the frozen normalization statistics are given in the text around it rather than as inputs of the algorithm itself. The same subsection states how the operating point was chosen, gives the initialization, and lists every constant with its origin, marked fixed, measured, selected or learned. We also record the exact training command in the release,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 is new Paired data, loss terms, schedule, operating point, and initialization with every constant and its origin.</w:t>
      </w:r>
    </w:p>
    <w:p>
      <w:pPr>
        <w:pStyle w:val="ListBullet"/>
        <w:spacing w:after="40"/>
      </w:pPr>
      <w:r>
        <w:rPr>
          <w:sz w:val="21"/>
        </w:rPr>
        <w:t>Algorithm 1 of the supplementary file, file supp/sections/S3_training.</w:t>
      </w:r>
    </w:p>
    <w:p>
      <w:pPr>
        <w:pStyle w:val="ListBullet"/>
        <w:spacing w:after="40"/>
      </w:pPr>
      <w:r>
        <w:rPr>
          <w:sz w:val="21"/>
        </w:rPr>
        <w:t>The training and selection scripts are in the release,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V J measures invented edges against the clean reference, retention of weak structures, the change inside dark fluid like regions enclosed by tissue, and the largest change on any single image. The response to Reviewer 1 comment 3 lists the quantities. The invented edge rate rises from 0.45 to 0.48 percent of pixels, weak structure retention falls from 40.5 to 37.6 percent, dark regions occupy 1.6 percent of the area with a mean absolute change of 0.0022 inside them against 0.0067 over the whole image, the inner limiting membrane shift improves from 4.73 to 4.38 pixels, the retinal pigment epithelium shift is 9.93 against 10.03 pixels, and boundary sharpness is not worsened on 104 of the 173 images. The first two are costs and we report them as such. 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V J and in Section VI B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V J is new.</w:t>
      </w:r>
    </w:p>
    <w:p>
      <w:pPr>
        <w:pStyle w:val="ListBullet"/>
        <w:spacing w:after="40"/>
      </w:pPr>
      <w:r>
        <w:rPr>
          <w:sz w:val="21"/>
        </w:rPr>
        <w:t>Section VI B,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V I is new and tests both theoretical claims numerically on the test set, and Section I B, Section III C and Section IV C each now point forward to it. Three things are checked. For the stability result, Theorem 1, we perturb the rule truth values by a controlled amount and measure the ratio of Definition 1, then compare it with the constant of Equation 12 computed from the trained weights. The constant is 0.5489 and the largest ratio measured over the 173 test images is 0.4679. The constant is exact for the allocation as a function of the rule truth values, so the gap is not slack in the proof. It means the perturbations a real image produces never reach the worst case the constant allows. For the contrast result, Theorem 2, we measure the tissue gain, the background leakage and the ratio of background standard deviations on every image and report on how many images the hypotheses hold. The margin condition holds on 139 of the 173 images and the standard deviation ratio condition on 94, a bare majority, with mean ratio 0.976. The two leakage terms have means of minus 0.0007 in tissue and minus 0.0017 in background against a mean absolute change of 0.0067 over the whole image. Their means sit near zero with a long negative tail, so we also report the per image sign, which is what the margin condition depends on. The tissue term is positive on 137 images and the background term negative on 107. Where a hypothesis fails the theorem makes no prediction, and the measured contrast change there is not systematically different in sign, which suggests the conditions are sufficient rather than necessary. We state the failures rather than exclude them. For the safety layer we report how often each of the three constraints fails and which one binds. Boundary sharpness is not worsened on 104 of the 173 images, reported as a count and not a mean because the per image worst case is what matters for trusting an individual scan. Of the three constraints, the energy constraint and the bounded change constraint hold on all 173 images and only the no sacrifice constraint ever fails, on 38 of them, so it is the binding one. Acceptance needs two of three and no image falls below two, so the layer returns the candidate in full on every test image. We say in the paper that it is therefore a guard whose bound was measured rather than a mechanism shown to intervene. The allocation map itself is also reported, its mean, spread, minimum and maximum, and the fraction of pixels at either clamp, which is zero by construction after the repair. The map spans 0.556 to 0.793 with mean 0.726 and standard deviation 0.050, and 0.00 percent of pixels sit at either end of the clamp, against every pixel of every image before the repair.</w:t>
      </w:r>
    </w:p>
    <w:p>
      <w:pPr>
        <w:spacing w:before="120" w:after="40"/>
      </w:pPr>
      <w:r>
        <w:rPr>
          <w:b/>
          <w:sz w:val="21"/>
        </w:rPr>
        <w:t>Changes in the manuscript</w:t>
      </w:r>
    </w:p>
    <w:p>
      <w:pPr>
        <w:pStyle w:val="ListBullet"/>
        <w:spacing w:after="40"/>
      </w:pPr>
      <w:r>
        <w:rPr>
          <w:sz w:val="21"/>
        </w:rPr>
        <w:t>Section V I is new.</w:t>
      </w:r>
    </w:p>
    <w:p>
      <w:pPr>
        <w:pStyle w:val="ListBullet"/>
        <w:spacing w:after="40"/>
      </w:pPr>
      <w:r>
        <w:rPr>
          <w:sz w:val="21"/>
        </w:rPr>
        <w:t>Section I B and Section IV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We agree that the work should be auditable and we have built the release. It holds the model code, the four correctors the revised paper reports with the background gate each was selected under, the split lists, the result file of every scored run, one driver per table and per figure, and a manifest mapping every table, figure and quoted number to the script and the file that produced it. The result files are included, so a reader rebuilds every table without running anything. The frozen backbones and the correctors of the submitted version are a separate archive, since they are large and never change. We are not able to give access during review, and we would rather state that plainly than imply otherwise. The repository is ours and naming it identifies us, which the review process does not allow at this stage. The release goes public under a permanent citable identifier on acceptance. We recognize this leaves the reviewer's request only partly met, and we have tried to make the manuscript answerable without it. Every number in the paper is traced to the run that produced it, every defect we found is described with what it affected, and every formula is written out so it can be recomputed independently of our code. Preparing this release is what led us to the defects described at the start of this letter. The release documents each one, what it affected and how it was fixed, and ships a script that checks each fix, because a reader of the code should be told rather than left to discover them.</w:t>
      </w:r>
    </w:p>
    <w:p>
      <w:pPr>
        <w:spacing w:before="120" w:after="40"/>
      </w:pPr>
      <w:r>
        <w:rPr>
          <w:b/>
          <w:sz w:val="21"/>
        </w:rPr>
        <w:t>Changes in the manuscript</w:t>
      </w:r>
    </w:p>
    <w:p>
      <w:pPr>
        <w:pStyle w:val="ListBullet"/>
        <w:spacing w:after="40"/>
      </w:pPr>
      <w:r>
        <w:rPr>
          <w:sz w:val="21"/>
        </w:rPr>
        <w:t>The release is complete. No link and no archive appear during review, and it goes public under a permanent identifier on acceptance.</w:t>
      </w:r>
    </w:p>
    <w:p>
      <w:pPr>
        <w:pStyle w:val="ListBullet"/>
        <w:spacing w:after="40"/>
      </w:pPr>
      <w:r>
        <w:rPr>
          <w:sz w:val="21"/>
        </w:rPr>
        <w:t>It contains the code, the four reported correctors, the split lists, every result file and one driver per table and per figure.</w:t>
      </w:r>
    </w:p>
    <w:p>
      <w:pPr>
        <w:pStyle w:val="ListBullet"/>
        <w:spacing w:after="40"/>
      </w:pPr>
      <w:r>
        <w:rPr>
          <w:sz w:val="21"/>
        </w:rPr>
        <w:t>The README documents the defects found during the revision and how to verify each fix.</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five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recorded script with its result files.</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Training, Tests and Results and is Section V of the revised paper. Every occurrence of the words experiment and experimental has been removed from the titles and the body and replaced by test, result or study. This is checked by a script included in the release,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 Across backbones of matched size. The four backbones are all scaled to about seven million parameters and trained on the same split with the same schedule, so the wrapper is added to four comparable denoisers rather than to one convenient one. Against post correction of matched complexity, which is what we read the comment to ask. Section V G adds three competitors that all read the same frozen backbone output. The first is a corrector of the same size trained with the same objective, the same warm start and the same ten epochs, but with the rule layer replaced by a uniform allocation for the whole of training. It was trained before the gate search that produced the selected models, so it uses the percentile gate and the earlier dead zone rather than the tissue bounded gate NAFNet was finally selected with, and we say so rather than claiming a match we cannot verify. We narrowed the text to match the code rather than leaving the mismatch. Section V G now says that this competitor is the same architecture with the same parameter budget and the same objective, trained for the same ten epochs, with the rule layer replaced by a uniform allocation for the whole of training rather than only at test time. It was fitted before the gate search, so it carries the percentile gate and not the tissue bounded gate NAFNet was selected with, which makes it matched in architecture and not in configuration. The paper says so, and the row is labeled uniform allocation, trained. The second and third are classical operators, unsharp masking and contrast limited adaptive histogram equalization, with their strength tuned on the forty image validation subset under the same rule used for our own constants. The lower block of Table 5 reports all of them. Training with a uniform allocation reaches plus 4.11 percent contrast and plus 11.58 percent tissue contrast index against plus 3.71 and plus 2.42 for the full method, and it pays 0.42 dB of fidelity against 0.17 dB. It is worse on the other four, at 0.71 against 1.21 percent on edge preservation, 3.83 against 4.16 on boundary sharpness, 16.2 against 23.3 on the speckle measure and 5.8 against 10.7 on the signal to noise ratio, so the two are not ordered. The two classical operators reach the largest tissue contrast index in the table by a wide margin, plus 39.5 and plus 53.0 against plus 2.4, while on contrast only adaptive equalization exceeds the wrapper, at plus 6.5 against plus 3.7, and unsharp masking falls well below it at plus 0.6. Both fail on everything else, lowering edge preservation by about 3.5 percent, raising boundary sharpness by about 25 percent by sharpening noise along with structure, and lowering the speckle measure by about 36 percent, with adaptive equalization also costing 4.4 dB. We state in the paper that the comparison does not show the rule layer produces the largest clinical numbers, only that the alternatives which produce larger numbers change the image several times as much and without a per pixel account of why.</w:t>
      </w:r>
    </w:p>
    <w:p>
      <w:pPr>
        <w:spacing w:before="120" w:after="40"/>
      </w:pPr>
      <w:r>
        <w:rPr>
          <w:b/>
          <w:sz w:val="21"/>
        </w:rPr>
        <w:t>Changes in the manuscript</w:t>
      </w:r>
    </w:p>
    <w:p>
      <w:pPr>
        <w:pStyle w:val="ListBullet"/>
        <w:spacing w:after="40"/>
      </w:pPr>
      <w:r>
        <w:rPr>
          <w:sz w:val="21"/>
        </w:rPr>
        <w:t>Section V G is new.</w:t>
      </w:r>
    </w:p>
    <w:p>
      <w:pPr>
        <w:pStyle w:val="ListBullet"/>
        <w:spacing w:after="40"/>
      </w:pPr>
      <w:r>
        <w:rPr>
          <w:sz w:val="21"/>
        </w:rPr>
        <w:t>The lower blocks of Table 3 report the comparison.</w:t>
      </w:r>
    </w:p>
    <w:p>
      <w:pPr>
        <w:pStyle w:val="ListBullet"/>
        <w:spacing w:after="40"/>
      </w:pPr>
      <w:r>
        <w:rPr>
          <w:sz w:val="21"/>
        </w:rPr>
        <w:t>The tuning of the classical operators is in revision/classical_baselines.py in the release.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 In the submitted version the constants of the fuzzy layer were the initial values of learnable parameters that never moved, because the layer was saturated and received no gradient. The honest answer to how they were computed is that they were not. In the revised version every constant is listed with its origin in Section V B of the main paper. The budgets are fixed by the identity stated in Section III C rather than chosen, and their relative sizes preserve the ordering of the submitted version so the rule that dominated still dominates. The rule weights and the base level are learned. Section V B states that exactly one quantity of the objective was tuned, the fidelity dead zone, together with the choice of background rule, and that both were selected on the validation split at three seeds by a recorded rule. We also found that ten weight flags in the training script are parsed and never used, so the four settings of the earlier search differed in the dead zone alone. Section V B now names all ten and the weights that do reach the loss are printed in Equations 14 to 19. The release documents that. Section V F reports the sensitivity study. No variation of any constant turns any of the six clinical measures negative. Over the fourteen variations the contrast gain lies between 3.5 and 4.5 percent and the fidelity cost between 0.16 and 0.23 dB, and replacing the Lukasiewicz conjunction by the product or by the minimum moves the contrast gain from 3.7 to 3.5 percent.</w:t>
      </w:r>
    </w:p>
    <w:p>
      <w:pPr>
        <w:spacing w:before="120" w:after="40"/>
      </w:pPr>
      <w:r>
        <w:rPr>
          <w:b/>
          <w:sz w:val="21"/>
        </w:rPr>
        <w:t>Changes in the manuscript</w:t>
      </w:r>
    </w:p>
    <w:p>
      <w:pPr>
        <w:pStyle w:val="ListBullet"/>
        <w:spacing w:after="40"/>
      </w:pPr>
      <w:r>
        <w:rPr>
          <w:sz w:val="21"/>
        </w:rPr>
        <w:t>Section III C, and Section V B.</w:t>
      </w:r>
    </w:p>
    <w:p>
      <w:pPr>
        <w:pStyle w:val="ListBullet"/>
        <w:spacing w:after="40"/>
      </w:pPr>
      <w:r>
        <w:rPr>
          <w:sz w:val="21"/>
        </w:rPr>
        <w:t>Section V B.</w:t>
      </w:r>
    </w:p>
    <w:p>
      <w:pPr>
        <w:pStyle w:val="ListBullet"/>
        <w:spacing w:after="40"/>
      </w:pPr>
      <w:r>
        <w:rPr>
          <w:sz w:val="21"/>
        </w:rPr>
        <w:t>Section V F.</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V K is new and reports, for each backbone, the size of the head, the data used to fit it, the number of epochs, the wall clock time, and the spread across the three seeds. The wrapper adds 168630 parameters shared across backbones plus a head whose size follows the width of the feature tensor it reads, 4659 for KBNet, 7263 for NAFNet, 85908 for SwinIR and 234273 for DnCNN. The trainable totals are therefore 173289, 175893, 254538 and 402903, so KBNet is below NAFNet and DnCNN is above SwinIR rather than both lying between them, which an earlier draft of this answer had wrong. The frozen backbones they are measured against are 7583521, 7009881, 6939289 and 7029013 parameters, giving 2.3, 2.5, 3.7 and 5.8 percent. Every backbone is fitted on the same 1388 PKU37 pairs for the same ten epochs from the same warm start, so only the wall clock and the seed spread vary. Fitting one seed takes 2.0 minutes for NAFNet, 2.5 for KBNet, 3.9 for DnCNN and 8.3 for SwinIR on one RTX 5070 Ti, an ordering set by the cost of one backbone forward pass. The fidelity spread across the three seeds is 0.02 dB for NAFNet, 0.06 for SwinIR, 0.08 for KBNet and 0.21 for DnCNN. We also separate two claims that the submitted paper mixed. What transfers with no training at all is the whole wrapper applied to another scanner, Table 4. What needs training is the move to a new backbone, because the head reads that backbone's features, and that cost is what Section V K reports. The tissue contrast index of DnCNN has mean plus 0.99 percent with a seed to seed standard deviation of 1.62, and the edge preservation of KBNet has mean 0.00 percent with a standard deviation of 0.07, both sample standard deviations over the three seeds as used everywhere in the paper. Both are visible in Table 3, where bold marks a mean that exceeds its spread and neither cell is bold, and Section V D names them in the text.</w:t>
      </w:r>
    </w:p>
    <w:p>
      <w:pPr>
        <w:spacing w:before="120" w:after="40"/>
      </w:pPr>
      <w:r>
        <w:rPr>
          <w:b/>
          <w:sz w:val="21"/>
        </w:rPr>
        <w:t>Changes in the manuscript</w:t>
      </w:r>
    </w:p>
    <w:p>
      <w:pPr>
        <w:pStyle w:val="ListBullet"/>
        <w:spacing w:after="40"/>
      </w:pPr>
      <w:r>
        <w:rPr>
          <w:sz w:val="21"/>
        </w:rPr>
        <w:t>Section V K is new.</w:t>
      </w:r>
    </w:p>
    <w:p>
      <w:pPr>
        <w:pStyle w:val="ListBullet"/>
        <w:spacing w:after="40"/>
      </w:pPr>
      <w:r>
        <w:rPr>
          <w:sz w:val="21"/>
        </w:rPr>
        <w:t>Section III names the feature tensor and its channel count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V I, see the response to comment 3.12. The Lipschitz constant is computed from the trained weights by a method of the release and the realized ratio is measured on real images. The constant is 0.5489 against a largest measured ratio of 0.4679 over 173 images. The margins of Theorem 2, the tissue gain and the background leakage, and the background standard deviation ratio are measured on every test image. The tissue term has mean minus 0.0007 and is positive on 137 of the 173 images, the background term has mean minus 0.0017 and is negative on 107, the mean ratio of background standard deviations is 0.976, the margin condition holds on 139 images and the standard deviation ratio condition on 94. 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V I.</w:t>
      </w:r>
    </w:p>
    <w:p>
      <w:pPr>
        <w:pStyle w:val="ListBullet"/>
        <w:spacing w:after="40"/>
      </w:pPr>
      <w:r>
        <w:rPr>
          <w:sz w:val="21"/>
        </w:rPr>
        <w:t>The closing paragraph of Section IV C.</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center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