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initializer after 2082 optimizer steps.</w:t>
      </w:r>
    </w:p>
    <w:p>
      <w:pPr>
        <w:ind w:left="0"/>
        <w:jc w:val="both"/>
      </w:pPr>
      <w:r>
        <w:rPr>
          <w:b w:val="0"/>
          <w:i w:val="0"/>
          <w:sz w:val="21"/>
        </w:rPr>
        <w:t>The consequence is that the symbolic layer described in Section III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 reports the realized ratio measured against it on real images.</w:t>
      </w:r>
    </w:p>
    <w:p>
      <w:pPr>
        <w:ind w:left="0"/>
        <w:jc w:val="both"/>
      </w:pPr>
      <w:r>
        <w:rPr>
          <w:b w:val="0"/>
          <w:i w:val="0"/>
          <w:sz w:val="21"/>
        </w:rPr>
        <w:t>Instrumenting the code for the release exposed five further defects in how the submitted models were trained and selected, and we list them here rather than in the individual answers. First, ten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normalization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Fifth, on a graphics processor the script compiled the corrector for training while every scoring script ran it eagerly, which moved the frozen reference of DnCNN and SwinIR by about a sixth of the size of the correction itself. All five are fixed. Every source of randomness is now seeded, every setting is trained at three seeds and selected on its worst seed, the normalization statistics are held fixed, the cache runs at full resolution, compilation is disabled on every path,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behavior remains reproducible through a documented switch, so the numbers in the submitted version can still be recovered from the released code.</w:t>
      </w:r>
    </w:p>
    <w:p>
      <w:pPr>
        <w:ind w:left="0"/>
        <w:jc w:val="both"/>
      </w:pPr>
      <w:r>
        <w:rPr>
          <w:b w:val="0"/>
          <w:i w:val="0"/>
          <w:sz w:val="21"/>
        </w:rPr>
        <w:t>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only protocol of the main paper. Reading the objective line by line against the code found three more. The clinical term is a weighted one sided penalty against a target taken from the backbone, over nine quantities and not a sum of two log ratios, and the tissue contrast index is not among the nine. The edge term is weighted toward the edges of the clean reference and carries two further parts. A sixth term of bounds and background protection, eight penalties in all, was active in training and absent from the printed objective. All of them now appear with their constants in Equations 14 to 19, and the property term was corrected in the same way.</w:t>
      </w:r>
    </w:p>
    <w:p>
      <w:pPr>
        <w:ind w:left="0"/>
        <w:jc w:val="both"/>
      </w:pPr>
      <w:r>
        <w:rPr>
          <w:b w:val="0"/>
          <w:i w:val="0"/>
          <w:sz w:val="21"/>
        </w:rPr>
        <w:t>The manuscript has been rewritten rather than patched. It is now organized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five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main paper now reports transfer with no adaptation of any kind and nothing else. The adapted protocol of the original submission keeps, in each fold, the epoch that scores best on the subject that fold then reports, so it is reported only in the supplementary file and labeled a historical diagnostic.</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optimization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Prepared the release, the code, the trained weights, the result file of every scored run and one driver per table and per figure, with a manifest that maps every quoted number to the script that produced it. We cannot give a link during review without identifying ourselves, so it goes public under a permanent citable identifier on acceptance, and we will supply it to the editorial office in any anonymized form the office prefers.</w:t>
      </w:r>
    </w:p>
    <w:p>
      <w:pPr>
        <w:pStyle w:val="ListNumber"/>
      </w:pPr>
      <w:r>
        <w:rPr>
          <w:sz w:val="21"/>
        </w:rPr>
        <w:t>Read the objective line by line against the training code and corrected three statements it did not support. The clinical term runs over nine quantities as a weighted one sided penalty against a target taken from the backbone, the edge term is weighted toward the clean edges and carries three parts, and a sixth term of bounds and background protection that was active in training is now printed. Ten weight flags are parsed and never used, not three.</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V H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since the map is not a probability and no calibration target is defined for it. The component is renamed a learned cooperation map throughout the paper, the word calibrated is not used of the map anywhere, and Section V H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 A is the only place the map is trained toward a meaning. It rewards agreement between the map and the estimated correction potential, so the map is pushed to be high where the correction has room to act. Whether that coincides with backbone error is exactly what Section V H measures.</w:t>
      </w:r>
    </w:p>
    <w:p>
      <w:pPr>
        <w:spacing w:before="120" w:after="40"/>
      </w:pPr>
      <w:r>
        <w:rPr>
          <w:b/>
          <w:sz w:val="21"/>
        </w:rPr>
        <w:t>Changes in the manuscript</w:t>
      </w:r>
    </w:p>
    <w:p>
      <w:pPr>
        <w:pStyle w:val="ListBullet"/>
        <w:spacing w:after="40"/>
      </w:pPr>
      <w:r>
        <w:rPr>
          <w:sz w:val="21"/>
        </w:rPr>
        <w:t>Section V H is new.</w:t>
      </w:r>
    </w:p>
    <w:p>
      <w:pPr>
        <w:pStyle w:val="ListBullet"/>
        <w:spacing w:after="40"/>
      </w:pPr>
      <w:r>
        <w:rPr>
          <w:sz w:val="21"/>
        </w:rPr>
        <w:t>The map is renamed a learned cooperation map in Section III A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V F removes one property at a time at test time, which sets its score to the satisfied value and its failure map to zero, and re evaluates the whole 173 image test set with the reported NAFNet model. Fig. S1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and Table 5 studies. The six failure maps themselves are now Fig. 2 of the main paper, moved in from the supplementary file so a reader can see what each property is looking at before reading what removing it costs.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We stop short of saying that P3, P4 and P6 can be dropped together, since each number above comes from removing one property on its own and we did not measure the three removed at once.</w:t>
      </w:r>
    </w:p>
    <w:p>
      <w:pPr>
        <w:spacing w:before="120" w:after="40"/>
      </w:pPr>
      <w:r>
        <w:rPr>
          <w:b/>
          <w:sz w:val="21"/>
        </w:rPr>
        <w:t>Changes in the manuscript</w:t>
      </w:r>
    </w:p>
    <w:p>
      <w:pPr>
        <w:pStyle w:val="ListBullet"/>
        <w:spacing w:after="40"/>
      </w:pPr>
      <w:r>
        <w:rPr>
          <w:sz w:val="21"/>
        </w:rPr>
        <w:t>Section V F is new, and Fig. S1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VI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V J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V J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VI B states plainly that no clinician read these images and that a reader study is the correct next step. 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V J is new.</w:t>
      </w:r>
    </w:p>
    <w:p>
      <w:pPr>
        <w:pStyle w:val="ListBullet"/>
        <w:spacing w:after="40"/>
      </w:pPr>
      <w:r>
        <w:rPr>
          <w:sz w:val="21"/>
        </w:rPr>
        <w:t>Fig. S1 of the supplementary file draws the safety quantities.</w:t>
      </w:r>
    </w:p>
    <w:p>
      <w:pPr>
        <w:pStyle w:val="ListBullet"/>
        <w:spacing w:after="40"/>
      </w:pPr>
      <w:r>
        <w:rPr>
          <w:sz w:val="21"/>
        </w:rPr>
        <w:t>Section VI B states that no expert reading was performed.</w:t>
      </w:r>
    </w:p>
    <w:p>
      <w:pPr>
        <w:pStyle w:val="ListBullet"/>
        <w:spacing w:after="40"/>
      </w:pPr>
      <w:r>
        <w:rPr>
          <w:sz w:val="21"/>
        </w:rPr>
        <w:t>Section VI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III C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 B says which quantities were selected on validation. Only one is, the fidelity dead zone, together with the choice of background rule. Whether any of it materially affects the result. Section V F varies the base level, the two rule weights that carry the allocation, and the conjunction, and re evaluates, with the budgets held fixed throughout by the identity above.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III C states the allocation rule and the identity that fixes its budgets.</w:t>
      </w:r>
    </w:p>
    <w:p>
      <w:pPr>
        <w:pStyle w:val="ListBullet"/>
        <w:spacing w:after="40"/>
      </w:pPr>
      <w:r>
        <w:rPr>
          <w:sz w:val="21"/>
        </w:rPr>
        <w:t>Section V B states what was selected and how.</w:t>
      </w:r>
    </w:p>
    <w:p>
      <w:pPr>
        <w:pStyle w:val="ListBullet"/>
        <w:spacing w:after="40"/>
      </w:pPr>
      <w:r>
        <w:rPr>
          <w:sz w:val="21"/>
        </w:rPr>
        <w:t>Section V F is the sensitivity study, and Fig. S1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The related work is now Section I C, and its third part,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discretization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 C positions our method against them and Section VI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 C is new.</w:t>
      </w:r>
    </w:p>
    <w:p>
      <w:pPr>
        <w:pStyle w:val="ListBullet"/>
        <w:spacing w:after="40"/>
      </w:pPr>
      <w:r>
        <w:rPr>
          <w:sz w:val="21"/>
        </w:rPr>
        <w:t>Eleven references added.</w:t>
      </w:r>
    </w:p>
    <w:p>
      <w:pPr>
        <w:pStyle w:val="ListBullet"/>
        <w:spacing w:after="40"/>
      </w:pPr>
      <w:r>
        <w:rPr>
          <w:sz w:val="21"/>
        </w:rPr>
        <w:t>Section VI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V C, under the heading Transfer protocol, states the protocol exactly. Table 4 reports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 B names the gate selected for each backbone. The revision also splits the single merged table of the first revision into three. Table 3 is the test set, Table 4 the transfer with nothing refitted, and Table 5 the component removals and the alternative operators. Table 4 gives the mean over three seeds for all four backbones on both target sets,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V C, under the heading Transfer protocol, is new.</w:t>
      </w:r>
    </w:p>
    <w:p>
      <w:pPr>
        <w:pStyle w:val="ListBullet"/>
        <w:spacing w:after="40"/>
      </w:pPr>
      <w:r>
        <w:rPr>
          <w:sz w:val="21"/>
        </w:rPr>
        <w:t>Table 4 is the frozen transfer and Table S7 of the supplementary file is the adapted protocol, kept as a historical diagnostic.</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VI A is new and explains the trade off and when it is worth accepting. A denoiser trained on squared error already sits near a local optimum of that error, so a change that raises contrast or boundary definition generally moves away from it. We now report this as an observed average rather than a rule. Fidelity falls in the mean on all four backbones, from 0.17 dB on SwinIR to 0.98 dB on DnCNN, and it does not fall on every image, since the NAFNet panel of Fig. 3 gains 0.02 dB while its contrast rises. What we claim is the trade the means describe, an average cost under one decibel against gains in the quantities a grader uses to place a boundary or judge a fluid pocket. We have removed the comparison with the variation between two acquisitions of the same eye, since we did not measure that variation on this data and should not have asserted it.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VI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 B reports how the result moves with it. We have also withdrawn the suggestion that tightening the third constraint moves the output back toward the backbone. It does not, because the rule accepts the candidate in full whenever any two of the three constraints hold, so tightening one of them changes nothing while the other two are satisfied. A deployment that must lose less fidelity should lower the gain bound instead.</w:t>
      </w:r>
    </w:p>
    <w:p>
      <w:pPr>
        <w:spacing w:before="120" w:after="40"/>
      </w:pPr>
      <w:r>
        <w:rPr>
          <w:b/>
          <w:sz w:val="21"/>
        </w:rPr>
        <w:t>Changes in the manuscript</w:t>
      </w:r>
    </w:p>
    <w:p>
      <w:pPr>
        <w:pStyle w:val="ListBullet"/>
        <w:spacing w:after="40"/>
      </w:pPr>
      <w:r>
        <w:rPr>
          <w:sz w:val="21"/>
        </w:rPr>
        <w:t>Section VI A is new.</w:t>
      </w:r>
    </w:p>
    <w:p>
      <w:pPr>
        <w:pStyle w:val="ListBullet"/>
        <w:spacing w:after="40"/>
      </w:pPr>
      <w:r>
        <w:rPr>
          <w:sz w:val="21"/>
        </w:rPr>
        <w:t>The SwinIR reference mismatch is stated and corrected, see the opening of this letter.</w:t>
      </w:r>
    </w:p>
    <w:p>
      <w:pPr>
        <w:pStyle w:val="ListBullet"/>
        <w:spacing w:after="40"/>
      </w:pPr>
      <w:r>
        <w:rPr>
          <w:sz w:val="21"/>
        </w:rPr>
        <w:t>Section V B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the statement of post correction as a constrained optimization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III C now gives Definition 1 before the theorem and says what the word does not mean here. It is not stability in the sense of Lyapunov and we claim no fixed point. The definition, Equation 5, is Lipschitz stability of the allocation with respect to the vector of the five rule truth values in the maximum norm, and its constant is Equation 6.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V I then measures the realized ratio on real images against the constant.</w:t>
      </w:r>
    </w:p>
    <w:p>
      <w:pPr>
        <w:spacing w:before="120" w:after="40"/>
      </w:pPr>
      <w:r>
        <w:rPr>
          <w:b/>
          <w:sz w:val="21"/>
        </w:rPr>
        <w:t>Changes in the manuscript</w:t>
      </w:r>
    </w:p>
    <w:p>
      <w:pPr>
        <w:pStyle w:val="ListBullet"/>
        <w:spacing w:after="40"/>
      </w:pPr>
      <w:r>
        <w:rPr>
          <w:sz w:val="21"/>
        </w:rPr>
        <w:t>Section III C, Definition 1 and Equation 11.</w:t>
      </w:r>
    </w:p>
    <w:p>
      <w:pPr>
        <w:pStyle w:val="ListBullet"/>
        <w:spacing w:after="40"/>
      </w:pPr>
      <w:r>
        <w:rPr>
          <w:sz w:val="21"/>
        </w:rPr>
        <w:t>Section V I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 B is new and states the problem in the standard form. The decision variables are the wrapper parameters, with the backbone parameters held fixed. The objective is the expectation over paired data of a weighted sum of six terms, Equation 1, each of which is defined in Section V A. The three constraints are stated and then given formally in Section IV B. The problem is solved by mini batch stochastic gradient descent with AdamW, which is possible because every logical connective is replaced by a smooth piecewise linear surrogate. The reviewer notes that optimization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used to set the blend weight through the majority rule.</w:t>
      </w:r>
    </w:p>
    <w:p>
      <w:pPr>
        <w:spacing w:before="120" w:after="40"/>
      </w:pPr>
      <w:r>
        <w:rPr>
          <w:b/>
          <w:sz w:val="21"/>
        </w:rPr>
        <w:t>Changes in the manuscript</w:t>
      </w:r>
    </w:p>
    <w:p>
      <w:pPr>
        <w:pStyle w:val="ListBullet"/>
        <w:spacing w:after="40"/>
      </w:pPr>
      <w:r>
        <w:rPr>
          <w:sz w:val="21"/>
        </w:rPr>
        <w:t>Section II B is new.</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 A and Table 1.</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 A.</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The named subterms are expanded in Section S1 of the supplementary file, which is the one pointer the property definitions still make. The scores are all computed from the noisy input and the backbone output alone and each is written as a formula so it can be recomputed from the release. The mathematical reason for the form of each is given in the text of Section III B. Sensitivity. Section V F reports the leave one property out study, see the response to Reviewer 1 comment 2, which found that P1, P2 and P5 carry almost all of the effect on PKU37 and that P3, P4 and P6 are close to inert. The same subsection varies the constants of the rule layer that consume the properties, see the response to comment 3.17. The failure maps enter the allocation only through rule 3, so the sensitivity of the correction to each map is the sensitivity to the budget of that rule. For that budget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III B defines the six properties, and Table 2 is in 04c_bounded_safety.</w:t>
      </w:r>
    </w:p>
    <w:p>
      <w:pPr>
        <w:pStyle w:val="ListBullet"/>
        <w:spacing w:after="40"/>
      </w:pPr>
      <w:r>
        <w:rPr>
          <w:sz w:val="21"/>
        </w:rPr>
        <w:t>Section V F and Section V F.</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The training account is new and is now the first part of Section V, which holds the training, the tests and the results together. Section V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 A gives the six loss terms as Equations 14 to 19 with what each measures and why that form was chosen. Preparing this revision we read the objective of the submitted paper against the training code and found three mismatches. The clinical term is a weighted one sided penalty against a target taken from the backbone and not a sum of log ratios, it runs over nine quantities and not two, the edge term is weighted toward the clean edges and carries two further parts, and a sixth term of bounds and background protection was missing from the objective altogether. All three are corrected, with every weight and constant printed. Section V B gives the schedule, the two stages, the optimizer and the three learning rates, and Algorithm 1 of the supplementary file states the procedure step by step. The seed, the dead zone and the frozen normalization statistics are given in the text around it rather than as inputs of the algorithm itself. The same subsection states how the operating point was chosen, gives the initialization, and lists every constant with its origin,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 is new Paired data, loss terms, schedule, operating point, and initialization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V J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V J and in Section VI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V J is new.</w:t>
      </w:r>
    </w:p>
    <w:p>
      <w:pPr>
        <w:pStyle w:val="ListBullet"/>
        <w:spacing w:after="40"/>
      </w:pPr>
      <w:r>
        <w:rPr>
          <w:sz w:val="21"/>
        </w:rPr>
        <w:t>Section VI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V I is new and tests both theoretical claims numerically on the test set, and Section I B, Section III C and Section IV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V I is new.</w:t>
      </w:r>
    </w:p>
    <w:p>
      <w:pPr>
        <w:pStyle w:val="ListBullet"/>
        <w:spacing w:after="40"/>
      </w:pPr>
      <w:r>
        <w:rPr>
          <w:sz w:val="21"/>
        </w:rPr>
        <w:t>Section I B and Section IV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that the work should be auditable and we have built the release.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 We are not able to give a link during review, and we would rather state that plainly than imply otherwise. The repository is ours and naming it identifies us, which the review process does not allow at this stage. We will make the release public under a permanent citable identifier on acceptance. If the editor would like the reviewers to see it before then, we will supply the archive through the editorial office in whatever anonymized form the office prefers, and we would welcome that. Preparing this release is what led us to the defects described at the start of this letter. The release documents each one, what it affected and how it was fixed, and ships a script that checks each fix, because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No link appears in the manuscript during review, and the archive goes public under a permanent identifier on acceptance.</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pStyle w:val="ListBullet"/>
        <w:spacing w:after="40"/>
      </w:pPr>
      <w:r>
        <w:rPr>
          <w:sz w:val="21"/>
        </w:rPr>
        <w:t>We offer the archive to the reviewers through the editorial office at the editor's discretion.</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five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Training, Tests and Results and is Section V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V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V G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labeled uniform allocation, trained. The second and third are classical operators, unsharp masking and contrast limited adaptive histogram equalization, with their strength tuned on the forty image validation subset under the same rule used for our own constants. The lower block of Table 5 reports all of them. Training with a uniform allocation reaches plus 4.11 percent contrast and plus 11.58 percent tissue contrast index against plus 3.71 and plus 2.42 for the full method, and it pays 0.42 dB of fidelity against 0.17 dB. It is worse on the other four, at 0.71 against 1.21 percent on edge preservation, 3.83 against 4.16 on boundary sharpness, 16.2 against 23.3 on the speckle measure and 5.8 against 10.7 on the signal to noise ratio, so the two are not ordered. The two classical operators reach the largest tissue contrast index in the table by a wide margin, plus 39.5 and plus 53.0 against plus 2.4, while on contrast only adaptive equalization exceeds the wrapper, at plus 6.5 against plus 3.7, and unsharp masking falls well below it at plus 0.6. Both fail on everything else, lowering edge preservation by about 3.5 percent, raising boundary sharpness by about 25 percent by sharpening noise along with structure, and lowering the speckle measure by about 36 percent, with adaptive equalization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V G is new.</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 B of the main paper. The budgets are fixed by the identity stated in Section III C rather than chosen, and their relative sizes preserve the ordering of the submitted version so the rule that dominated still dominates. The rule weights and the base level are learned. Section V B states that exactly one quantity of the objective was tuned, the fidelity dead zone, together with the choice of background rule, and that both were selected on the validation split at three seeds by a recorded rule. We also found that ten weight flags in the training script are parsed and never used, so the four settings of the earlier search differed in the dead zone alone. Section V B now names all ten and the weights that do reach the loss are printed in Equations 14 to 19. The release documents that. Section V F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III C, and Section V B.</w:t>
      </w:r>
    </w:p>
    <w:p>
      <w:pPr>
        <w:pStyle w:val="ListBullet"/>
        <w:spacing w:after="40"/>
      </w:pPr>
      <w:r>
        <w:rPr>
          <w:sz w:val="21"/>
        </w:rPr>
        <w:t>Section V B.</w:t>
      </w:r>
    </w:p>
    <w:p>
      <w:pPr>
        <w:pStyle w:val="ListBullet"/>
        <w:spacing w:after="40"/>
      </w:pPr>
      <w:r>
        <w:rPr>
          <w:sz w:val="21"/>
        </w:rPr>
        <w:t>Section V F.</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V K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4659 for KBNet, 7263 for NAFNet, 85908 for SwinIR and 234273 for DnCNN. The trainable totals are therefore 173289, 175893, 254538 and 402903, so KBNet is below NAFNet and DnCNN is above SwinIR rather than both lying between them, which an earlier draft of this answer had wrong. The frozen backbones they are measured against are 7583521, 7009881, 6939289 and 7029013 parameters, giving 2.3, 2.5, 3.7 and 5.8 percent.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Table 4. What needs training is the move to a new backbone, because the head reads that backbone's features, and that cost is what Section V K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bold marks a mean that exceeds its spread and neither cell is bold, and Section V D names them in the text.</w:t>
      </w:r>
    </w:p>
    <w:p>
      <w:pPr>
        <w:spacing w:before="120" w:after="40"/>
      </w:pPr>
      <w:r>
        <w:rPr>
          <w:b/>
          <w:sz w:val="21"/>
        </w:rPr>
        <w:t>Changes in the manuscript</w:t>
      </w:r>
    </w:p>
    <w:p>
      <w:pPr>
        <w:pStyle w:val="ListBullet"/>
        <w:spacing w:after="40"/>
      </w:pPr>
      <w:r>
        <w:rPr>
          <w:sz w:val="21"/>
        </w:rPr>
        <w:t>Section V K is new.</w:t>
      </w:r>
    </w:p>
    <w:p>
      <w:pPr>
        <w:pStyle w:val="ListBullet"/>
        <w:spacing w:after="40"/>
      </w:pPr>
      <w:r>
        <w:rPr>
          <w:sz w:val="21"/>
        </w:rPr>
        <w:t>Section III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V I, see the response to comment 3.12. The Lipschitz constant is computed from the trained weights by a method of the release and the realized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V I.</w:t>
      </w:r>
    </w:p>
    <w:p>
      <w:pPr>
        <w:pStyle w:val="ListBullet"/>
        <w:spacing w:after="40"/>
      </w:pPr>
      <w:r>
        <w:rPr>
          <w:sz w:val="21"/>
        </w:rPr>
        <w:t>The closing paragraph of Section IV C.</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center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