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materially affects the result. Section IX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Table 3 now carries the no adaptation protocol for all four backbones on Duke17 and Duke2013, the mean over three seeds,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five loss terms as Equations 14 to 18 with what each measures and why that form was chosen. Section VIII B gives the schedule, the two stages, the optimiser and the three learning rates, and Algorithm 1 of the supplementary file states the procedure step by step. The seed, the dead zone and the frozen normalisation statistics are given in the text around it rather than as inputs of the algorithm itself.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labelled uniform allocation, trained.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