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III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will release it after the paper is accepted, under a permanent citable identifier.</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 H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since the map is not a probability and no calibration target is defined for it. The component is renamed a learned cooperation map throughout the paper, the word calibrated is not used of the map anywhere, and Section V H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 A is the only place the map is trained toward a meaning. It rewards agreement between the map and the estimated correction potential, so the map is pushed to be high where the correction has room to act. Whether that coincides with backbone error is exactly what Section V H measures.</w:t>
      </w:r>
    </w:p>
    <w:p>
      <w:pPr>
        <w:spacing w:before="120" w:after="40"/>
      </w:pPr>
      <w:r>
        <w:rPr>
          <w:b/>
          <w:sz w:val="21"/>
        </w:rPr>
        <w:t>Changes in the manuscript</w:t>
      </w:r>
    </w:p>
    <w:p>
      <w:pPr>
        <w:pStyle w:val="ListBullet"/>
        <w:spacing w:after="40"/>
      </w:pPr>
      <w:r>
        <w:rPr>
          <w:sz w:val="21"/>
        </w:rPr>
        <w:t>Section V H is new.</w:t>
      </w:r>
    </w:p>
    <w:p>
      <w:pPr>
        <w:pStyle w:val="ListBullet"/>
        <w:spacing w:after="40"/>
      </w:pPr>
      <w:r>
        <w:rPr>
          <w:sz w:val="21"/>
        </w:rPr>
        <w:t>The map is renamed a learned cooperation map in Section III A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 F removes one property at a time at test time, which sets its score to the satisfied value and its failure map to zero, and re evaluates the whole 173 image test set with the reported NAFNet model. Panel (a) of Fig. S1 of the supplementary file draws the result as a heat map, one row per property removed and one column per measure, with the value printed in every cell.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seed 0 checkpoint Table 5 studies, while Table 3 reports the mean over three seeds.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We stop short of saying that P3, P4 and P6 can be dropped together, since each number above comes from removing one property on its own and we did not measure the three removed at once.</w:t>
      </w:r>
    </w:p>
    <w:p>
      <w:pPr>
        <w:spacing w:before="120" w:after="40"/>
      </w:pPr>
      <w:r>
        <w:rPr>
          <w:b/>
          <w:sz w:val="21"/>
        </w:rPr>
        <w:t>Changes in the manuscript</w:t>
      </w:r>
    </w:p>
    <w:p>
      <w:pPr>
        <w:pStyle w:val="ListBullet"/>
        <w:spacing w:after="40"/>
      </w:pPr>
      <w:r>
        <w:rPr>
          <w:sz w:val="21"/>
        </w:rPr>
        <w:t>Section V F is new,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VI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V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 B states plainly that no clinician read these images and that a reader study is the correct next step. 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Fig. S1 of the supplementary file draws the safety quantities.</w:t>
      </w:r>
    </w:p>
    <w:p>
      <w:pPr>
        <w:pStyle w:val="ListBullet"/>
        <w:spacing w:after="40"/>
      </w:pPr>
      <w:r>
        <w:rPr>
          <w:sz w:val="21"/>
        </w:rPr>
        <w:t>Section VI B states that no expert reading was performed.</w:t>
      </w:r>
    </w:p>
    <w:p>
      <w:pPr>
        <w:pStyle w:val="ListBullet"/>
        <w:spacing w:after="40"/>
      </w:pPr>
      <w:r>
        <w:rPr>
          <w:sz w:val="21"/>
        </w:rPr>
        <w:t>Section VI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III C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 B says which quantities were selected on validation. Only one is, the fidelity dead zone, together with the choice of background rule. Whether any of it materially affects the result. Section V F varies the base level, the two rule weights that carry the allocation, and the conjunction, and re evaluates, with the budgets held fixed throughout by the identity above.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III C states the allocation rule and the identity that fixes its budgets.</w:t>
      </w:r>
    </w:p>
    <w:p>
      <w:pPr>
        <w:pStyle w:val="ListBullet"/>
        <w:spacing w:after="40"/>
      </w:pPr>
      <w:r>
        <w:rPr>
          <w:sz w:val="21"/>
        </w:rPr>
        <w:t>Section V B states what was selected and how.</w:t>
      </w:r>
    </w:p>
    <w:p>
      <w:pPr>
        <w:pStyle w:val="ListBullet"/>
        <w:spacing w:after="40"/>
      </w:pPr>
      <w:r>
        <w:rPr>
          <w:sz w:val="21"/>
        </w:rPr>
        <w:t>Section V F is the sensitivity study,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The related work is now Section I C, and its third part,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 C positions our method against them and Section VI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 C is new.</w:t>
      </w:r>
    </w:p>
    <w:p>
      <w:pPr>
        <w:pStyle w:val="ListBullet"/>
        <w:spacing w:after="40"/>
      </w:pPr>
      <w:r>
        <w:rPr>
          <w:sz w:val="21"/>
        </w:rPr>
        <w:t>Eleven references added.</w:t>
      </w:r>
    </w:p>
    <w:p>
      <w:pPr>
        <w:pStyle w:val="ListBullet"/>
        <w:spacing w:after="40"/>
      </w:pPr>
      <w:r>
        <w:rPr>
          <w:sz w:val="21"/>
        </w:rPr>
        <w:t>Section VI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 C,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 B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 C, under the heading Transfer protocol, is new.</w:t>
      </w:r>
    </w:p>
    <w:p>
      <w:pPr>
        <w:pStyle w:val="ListBullet"/>
        <w:spacing w:after="40"/>
      </w:pPr>
      <w:r>
        <w:rPr>
          <w:sz w:val="21"/>
        </w:rPr>
        <w:t>Table 4 is the frozen transfer and Table S7 of the supplementary file is the adapted protocol, kept as a historical diagnostic.</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 A is new and explains the trade off and when it is worth accepting. A denoiser trained on squared error already sits near a local optimum of that error, so a change that raises contrast or boundary definition generally moves away from it. We now report this as an observed average rather than a rule. Fidelity falls in the mean on all four backbones, from 0.17 dB on SwinIR to 0.98 dB on DnCNN, and it does not fall on every image, since the NAFNet panel of Fig. 3 gains 0.02 dB while its contrast rises. What we claim is the trade the means describe, an average cost under one decibel against gains in the quantities a grader uses to place a boundary or judge a fluid pocket. We have removed the comparison with the variation between two acquisitions of the same eye, since we did not measure that variation on this data and should not have asserted it.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 A explains the remaining drop by the windowed attention, which smooths aggressively inside a window and so gives away the most contrast for the correction to restore. We withdraw what the submitted letter said about controlling this through the safety layer. The acceptance rule is a majority test and guarantees neither fidelity nor any individual condition. Tightening one of the three constraints need not change the output at all, since the candidate is accepted in full whenever the other two hold. A deployment that must lose less fidelity should lower the gain bound, which attenuates the multiplicative branch, though we cannot claim that monotonically improves fidelity, because the additive edge branch and the background operation stay active. Only bypassing the wrapper reproduces the backbone output exactly. The dead zone of the fidelity term is the training time counterpart, and Section V B reports how the result moves with it.</w:t>
      </w:r>
    </w:p>
    <w:p>
      <w:pPr>
        <w:spacing w:before="120" w:after="40"/>
      </w:pPr>
      <w:r>
        <w:rPr>
          <w:b/>
          <w:sz w:val="21"/>
        </w:rPr>
        <w:t>Changes in the manuscript</w:t>
      </w:r>
    </w:p>
    <w:p>
      <w:pPr>
        <w:pStyle w:val="ListBullet"/>
        <w:spacing w:after="40"/>
      </w:pPr>
      <w:r>
        <w:rPr>
          <w:sz w:val="21"/>
        </w:rPr>
        <w:t>Section VI A is new.</w:t>
      </w:r>
    </w:p>
    <w:p>
      <w:pPr>
        <w:pStyle w:val="ListBullet"/>
        <w:spacing w:after="40"/>
      </w:pPr>
      <w:r>
        <w:rPr>
          <w:sz w:val="21"/>
        </w:rPr>
        <w:t>The SwinIR reference mismatch is stated and corrected, see the opening of this letter.</w:t>
      </w:r>
    </w:p>
    <w:p>
      <w:pPr>
        <w:pStyle w:val="ListBullet"/>
        <w:spacing w:after="40"/>
      </w:pPr>
      <w:r>
        <w:rPr>
          <w:sz w:val="21"/>
        </w:rPr>
        <w:t>Section V B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six clinical properties in closed form that need no clean image at test time, a rule layer whose decision cannot jump, with the bound proved and then measured, a safety layer that decides how much of a proposal to keep, and one design carried across four denoisers. The list also says what is not new. Edge filters, cooperation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III C now gives Definition 1 before the theorem and says what the word does not mean here. It is not stability in the sense of Lyapunov and we claim no fixed point. The definition, Equation 5, is Lipschitz stability of the allocation with respect to the vector of the five rule truth values in the maximum norm, and its constant is Equation 6.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 I then measures the realized ratio on real images against the constant.</w:t>
      </w:r>
    </w:p>
    <w:p>
      <w:pPr>
        <w:spacing w:before="120" w:after="40"/>
      </w:pPr>
      <w:r>
        <w:rPr>
          <w:b/>
          <w:sz w:val="21"/>
        </w:rPr>
        <w:t>Changes in the manuscript</w:t>
      </w:r>
    </w:p>
    <w:p>
      <w:pPr>
        <w:pStyle w:val="ListBullet"/>
        <w:spacing w:after="40"/>
      </w:pPr>
      <w:r>
        <w:rPr>
          <w:sz w:val="21"/>
        </w:rPr>
        <w:t>Section III C, Definition 1 and Equations 5 and 6.</w:t>
      </w:r>
    </w:p>
    <w:p>
      <w:pPr>
        <w:pStyle w:val="ListBullet"/>
        <w:spacing w:after="40"/>
      </w:pPr>
      <w:r>
        <w:rPr>
          <w:sz w:val="21"/>
        </w:rPr>
        <w:t>Section V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 B is new and states the problem in the standard form. The decision variables are the wrapper parameters, with the backbone parameters held fixed. The objective is the expectation over paired data of a weighted sum of six terms, Equation 1, each of which is defined in Section V A. The three constraints are stated and then given formally in Section IV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including one place where the submitted description was wrong. The three acceptance conditions are not relaxed into the objective and no penalty stands in for them. They are evaluated exactly, per image, at test time only, where the number that hold sets the blend weight. Training therefore optimizes the candidate and not the blended output, since the acceptance rule does not run while the wrapper is fitted. The regularization the objective does carry is Equation 19, which bounds the size and roughness of the change and protects the background, and is a separate thing from the three conditions.</w:t>
      </w:r>
    </w:p>
    <w:p>
      <w:pPr>
        <w:spacing w:before="120" w:after="40"/>
      </w:pPr>
      <w:r>
        <w:rPr>
          <w:b/>
          <w:sz w:val="21"/>
        </w:rPr>
        <w:t>Changes in the manuscript</w:t>
      </w:r>
    </w:p>
    <w:p>
      <w:pPr>
        <w:pStyle w:val="ListBullet"/>
        <w:spacing w:after="40"/>
      </w:pPr>
      <w:r>
        <w:rPr>
          <w:sz w:val="21"/>
        </w:rPr>
        <w:t>Section II B is new.</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 A and Table 1.</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 A.</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The named subterms are expanded in Section S1 of the supplementary file, which is the one pointer the property definitions still make. The scores are all computed from the noisy input and the backbone output alone and each is written as a formula so it can be recomputed from the release. The mathematical reason for the form of each is given in the text of Section III B. Sensitivity. Section V F reports the leave one property out study, see the response to Reviewer 1 comment 2, which found that P1, P2 and P5 carry almost all of the effect on PKU37 and that P3, P4 and P6 are close to inert. The same subsection varies the constants of the rule layer that consume the properties, see the response to comment 3.17. The failure maps enter the allocation only through rule 3, so the sensitivity of the correction to each map is the sensitivity to the budget of that rule. For that budget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III B defines the six properties, and Table 2 is in 04c_bounded_safety.</w:t>
      </w:r>
    </w:p>
    <w:p>
      <w:pPr>
        <w:pStyle w:val="ListBullet"/>
        <w:spacing w:after="40"/>
      </w:pPr>
      <w:r>
        <w:rPr>
          <w:sz w:val="21"/>
        </w:rPr>
        <w:t>Section V F and Section V F.</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The training account is new and is now the first part of Section V, which holds the training, the tests and the results together. Section V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The same subsection states how the operating point was chosen, gives the initialization, and lists every constant with its origin,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 is new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 J and in Section VI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Section VI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 I is new and tests both theoretical claims numerically on the test set, and Section I B, Section III C and Section IV C each now point forward to it. Three things are checked. For the stability result, Theorem 1, we perturb the rule truth values by a controlled amount and measure the ratio of Definition 1, then compare it with the constant of Equation 6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 I is new.</w:t>
      </w:r>
    </w:p>
    <w:p>
      <w:pPr>
        <w:pStyle w:val="ListBullet"/>
        <w:spacing w:after="40"/>
      </w:pPr>
      <w:r>
        <w:rPr>
          <w:sz w:val="21"/>
        </w:rPr>
        <w:t>Section I B and Section IV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will release the code after the paper is accepted.</w:t>
      </w:r>
    </w:p>
    <w:p>
      <w:pPr>
        <w:ind w:left="0"/>
        <w:jc w:val="both"/>
      </w:pPr>
      <w:r>
        <w:rPr>
          <w:b w:val="0"/>
          <w:i w:val="0"/>
          <w:sz w:val="21"/>
        </w:rPr>
        <w:t>The release is already built.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 It goes public under a permanent citable identifier on acceptance.</w:t>
      </w:r>
    </w:p>
    <w:p>
      <w:pPr>
        <w:ind w:left="0"/>
        <w:jc w:val="both"/>
      </w:pPr>
      <w:r>
        <w:rPr>
          <w:b w:val="0"/>
          <w:i w:val="0"/>
          <w:sz w:val="21"/>
        </w:rPr>
        <w:t>Preparing it is what led us to the defects described at the start of this letter. The release documents each one, what it affected and how it was fixed, and ships a script that checks each fix.</w:t>
      </w:r>
    </w:p>
    <w:p>
      <w:pPr>
        <w:spacing w:before="120" w:after="40"/>
      </w:pPr>
      <w:r>
        <w:rPr>
          <w:b/>
          <w:sz w:val="21"/>
        </w:rPr>
        <w:t>Changes in the manuscript</w:t>
      </w:r>
    </w:p>
    <w:p>
      <w:pPr>
        <w:pStyle w:val="ListBullet"/>
        <w:spacing w:after="40"/>
      </w:pPr>
      <w:r>
        <w:rPr>
          <w:sz w:val="21"/>
        </w:rPr>
        <w:t>The release is complete and goes public under a permanent identifier once the paper is accepted.</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five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Training, Tests and Results and is Section V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 G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four, at 0.71 against 1.21 percent on edge preservation, 3.83 against 4.16 on boundary sharpness, 16.2 against 23.3 on the speckle measure and 5.8 against 10.7 on the signal to noise ratio, so the two are not ordered. The two classical operators reach the largest tissue contrast index in the table by a wide margin, plus 39.5 and plus 53.0 against plus 2.4, while on contrast only adaptive equalization exceeds the wrapper, at plus 6.5 against plus 3.7, and unsharp masking falls well below it at plus 0.6. Both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 G is new.</w:t>
      </w:r>
    </w:p>
    <w:p>
      <w:pPr>
        <w:pStyle w:val="ListBullet"/>
        <w:spacing w:after="40"/>
      </w:pPr>
      <w:r>
        <w:rPr>
          <w:sz w:val="21"/>
        </w:rPr>
        <w:t>The lower block of Table 5 reports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 B of the main paper. The budgets are fixed by the identity stated in Section III C rather than chosen, and their relative sizes preserve the ordering of the submitted version so the rule that dominated still dominates. The rule weights and the base level are learned. Section V B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 B now names all ten and the weights that do reach the loss are printed in Equations 14 to 19. The release documents that. Section V F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III C, and Section V B.</w:t>
      </w:r>
    </w:p>
    <w:p>
      <w:pPr>
        <w:pStyle w:val="ListBullet"/>
        <w:spacing w:after="40"/>
      </w:pPr>
      <w:r>
        <w:rPr>
          <w:sz w:val="21"/>
        </w:rPr>
        <w:t>Section V B.</w:t>
      </w:r>
    </w:p>
    <w:p>
      <w:pPr>
        <w:pStyle w:val="ListBullet"/>
        <w:spacing w:after="40"/>
      </w:pPr>
      <w:r>
        <w:rPr>
          <w:sz w:val="21"/>
        </w:rPr>
        <w:t>Section V F.</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4659 for KBNet, 7263 for NAFNet, 85908 for SwinIR and 234273 for DnCNN. The trainable totals are therefore 173289, 175893, 254538 and 402903, so KBNet is below NAFNet and DnCNN is above SwinIR rather than both lying between them, which an earlier draft of this answer had wrong. The frozen backbones they are measured against are 7583521, 7009881, 6939289 and 7029013 parameters, giving 2.3, 2.5, 3.7 and 5.7 percent.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V K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V D names them in the text.</w:t>
      </w:r>
    </w:p>
    <w:p>
      <w:pPr>
        <w:spacing w:before="120" w:after="40"/>
      </w:pPr>
      <w:r>
        <w:rPr>
          <w:b/>
          <w:sz w:val="21"/>
        </w:rPr>
        <w:t>Changes in the manuscript</w:t>
      </w:r>
    </w:p>
    <w:p>
      <w:pPr>
        <w:pStyle w:val="ListBullet"/>
        <w:spacing w:after="40"/>
      </w:pPr>
      <w:r>
        <w:rPr>
          <w:sz w:val="21"/>
        </w:rPr>
        <w:t>Section V K is new.</w:t>
      </w:r>
    </w:p>
    <w:p>
      <w:pPr>
        <w:pStyle w:val="ListBullet"/>
        <w:spacing w:after="40"/>
      </w:pPr>
      <w:r>
        <w:rPr>
          <w:sz w:val="21"/>
        </w:rPr>
        <w:t>Section III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 I, see the response to comment 3.12. The Lipschitz constant is computed from the trained weights by a method of the release and the realized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 I.</w:t>
      </w:r>
    </w:p>
    <w:p>
      <w:pPr>
        <w:pStyle w:val="ListBullet"/>
        <w:spacing w:after="40"/>
      </w:pPr>
      <w:r>
        <w:rPr>
          <w:sz w:val="21"/>
        </w:rPr>
        <w:t>The closing paragraph of Section IV C.</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