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F4E79"/>
          <w:sz w:val="32"/>
        </w:rPr>
        <w:t>Response to Reviewers</w:t>
      </w:r>
    </w:p>
    <w:p>
      <w:pPr>
        <w:ind w:left="0"/>
        <w:jc w:val="both"/>
      </w:pPr>
      <w:r>
        <w:rPr>
          <w:b/>
          <w:i w:val="0"/>
          <w:sz w:val="21"/>
        </w:rPr>
        <w:t>Manuscript OJCS-2026-04-0386, Minor Revision</w:t>
      </w:r>
    </w:p>
    <w:p>
      <w:pPr>
        <w:ind w:left="0"/>
        <w:jc w:val="both"/>
      </w:pPr>
      <w:r>
        <w:rPr>
          <w:b w:val="0"/>
          <w:i/>
          <w:sz w:val="21"/>
        </w:rPr>
        <w:t>Backbone-Modular Neuro-Symbolic Post-Correction for OCT Denoising via Explicit Predicate Maps and Stable Fuzzy Allocation</w:t>
      </w:r>
    </w:p>
    <w:p>
      <w:pPr>
        <w:ind w:left="0"/>
        <w:jc w:val="both"/>
      </w:pPr>
      <w:r>
        <w:rPr>
          <w:b w:val="0"/>
          <w:i w:val="0"/>
          <w:sz w:val="21"/>
        </w:rPr>
        <w:t>Submitted 15 September 2026</w:t>
      </w:r>
    </w:p>
    <w:p>
      <w:pPr>
        <w:spacing w:before="280" w:after="80"/>
      </w:pPr>
      <w:r>
        <w:rPr>
          <w:b/>
          <w:color w:val="1F4E79"/>
          <w:sz w:val="26"/>
        </w:rPr>
        <w:t>Opening</w:t>
      </w:r>
    </w:p>
    <w:p>
      <w:pPr>
        <w:ind w:left="0"/>
        <w:jc w:val="both"/>
      </w:pPr>
      <w:r>
        <w:rPr>
          <w:b w:val="0"/>
          <w:i w:val="0"/>
          <w:sz w:val="21"/>
        </w:rPr>
        <w:t>We thank the Editor in Chief, the Associate Editor and the three reviewers for a careful and constructive reading. The reviews sent us back to the code, and we want to report at the outset what we found there, because it changed the revision substantially and it is the honest starting point for everything that follows.</w:t>
      </w:r>
    </w:p>
    <w:p>
      <w:pPr>
        <w:ind w:left="0"/>
        <w:jc w:val="both"/>
      </w:pPr>
      <w:r>
        <w:rPr>
          <w:b w:val="0"/>
          <w:i w:val="0"/>
          <w:sz w:val="21"/>
        </w:rPr>
        <w:t>Reviewer 1 comment 4 asks why the fuzzy rule weights 1.5 and 2.0 were chosen. Reviewer 3 comment 17 asks how the parameters of the fuzzy layer were computed. Reviewer 3 comment 13 asks us to release the code. Answering the first two properly meant instrumenting the rule layer, and doing that revealed a defect. In the submitted version the allocation map produced by the symbolic negotiator was the constant one at every pixel of every image. The positive rule contributions summed to more than the upper limit of the clamp that follows them, so the clamp was active everywhere. Because the derivative of a clamp at its bound is zero, the rule parameters also received no gradient during training and remained at their initial values. We verified both facts directly, first by reading the allocation map out of the released checkpoint, and second by confirming that every negotiator parameter in that checkpoint is still exactly at its initializer after 2082 optimizer steps.</w:t>
      </w:r>
    </w:p>
    <w:p>
      <w:pPr>
        <w:ind w:left="0"/>
        <w:jc w:val="both"/>
      </w:pPr>
      <w:r>
        <w:rPr>
          <w:b w:val="0"/>
          <w:i w:val="0"/>
          <w:sz w:val="21"/>
        </w:rPr>
        <w:t>The consequence is that the symbolic layer described in Section III of the submitted paper did not influence any reported number. We are grateful that the reviewers pushed on exactly this point.</w:t>
      </w:r>
    </w:p>
    <w:p>
      <w:pPr>
        <w:ind w:left="0"/>
        <w:jc w:val="both"/>
      </w:pPr>
      <w:r>
        <w:rPr>
          <w:b w:val="0"/>
          <w:i w:val="0"/>
          <w:sz w:val="21"/>
        </w:rPr>
        <w:t>We have repaired the method rather than removed the claim. The allocation is now a bounded weighted vote over the five named rules, with budgets chosen so that the value provably lies in the unit interval for every possible input and every possible parameter setting. The clamp is therefore never active, saturation is impossible rather than merely unlikely, and gradients reach the rule parameters again. The repair also strengthens the theory. The Lipschitz constant of the allocation is now exact and attained rather than a loose upper bound, it can be computed from the trained weights, and Section V reports the realized ratio measured against it on real images.</w:t>
      </w:r>
    </w:p>
    <w:p>
      <w:pPr>
        <w:ind w:left="0"/>
        <w:jc w:val="both"/>
      </w:pPr>
      <w:r>
        <w:rPr>
          <w:b w:val="0"/>
          <w:i w:val="0"/>
          <w:sz w:val="21"/>
        </w:rPr>
        <w:t>Instrumenting the code for the release exposed five further defects in how the submitted models were trained and selected, and we list them here rather than in the individual answers. First, ten loss weight flags of the training script were parsed and never passed to the loss, so the four settings of the earlier search differed in the fidelity dead zone alone, and the description of parameter selection in the submitted paper was wrong about what had been selected. Second, nothing was seeded, and the selector chose a setting on one run and then reported a fresh unseeded model trained with that setting and a different batch size, so the reported model was never the selected model. Third, the DnCNN backbone contains batch normalization and its running statistics kept updating while it served as the frozen reference, so the reference drifted during training. Fourth, the SwinIR corrector was trained against a half resolution cache of the backbone output and tested against the full resolution output, which differ by 1.61 dB. Fifth, on a graphics processor the script compiled the corrector for training while every scoring script ran it eagerly, which moved the frozen reference of DnCNN and SwinIR by about a sixth of the size of the correction itself. All five are fixed. Every source of randomness is now seeded, every setting is trained at three seeds and selected on its worst seed, the normalization statistics are held fixed, the cache runs at full resolution, compilation is disabled on every path, and the search varies exactly the two quantities that act. The released code documents each defect and includes a script that checks each fix.</w:t>
      </w:r>
    </w:p>
    <w:p>
      <w:pPr>
        <w:ind w:left="0"/>
        <w:jc w:val="both"/>
      </w:pPr>
      <w:r>
        <w:rPr>
          <w:b w:val="0"/>
          <w:i w:val="0"/>
          <w:sz w:val="21"/>
        </w:rPr>
        <w:t>Every model was retrained from the submitted checkpoints with the repaired method and every table was regenerated from the selected seeded checkpoints. The original behavior remains reproducible through a documented switch, so the numbers in the submitted version can still be recovered from the released code.</w:t>
      </w:r>
    </w:p>
    <w:p>
      <w:pPr>
        <w:ind w:left="0"/>
        <w:jc w:val="both"/>
      </w:pPr>
      <w:r>
        <w:rPr>
          <w:b w:val="0"/>
          <w:i w:val="0"/>
          <w:sz w:val="21"/>
        </w:rPr>
        <w:t>Discrepancies between the submitted text and the code were found in the same pass and are corrected in the revision. The blend weight at test time is one when at least two of the three safety constraints hold, rather than the four valued schedule printed in the submitted Equation 16. The cross dataset protocol involved per fold adaptation on the target dataset, which is precisely what Reviewer 2 comment 1 identified, and the revision now reports transfer with no adaptation as the only protocol of the main paper. Reading the objective line by line against the code found three more. The clinical term is a weighted one sided penalty against a target taken from the backbone, over nine quantities and not a sum of two log ratios, and the tissue contrast index is not among the nine. The edge term is weighted toward the edges of the clean reference and carries two further parts. A sixth term of bounds and background protection, eight penalties in all, was active in training and absent from the printed objective. All of them now appear with their constants in Equations 14 to 19, and the property term was corrected in the same way.</w:t>
      </w:r>
    </w:p>
    <w:p>
      <w:pPr>
        <w:ind w:left="0"/>
        <w:jc w:val="both"/>
      </w:pPr>
      <w:r>
        <w:rPr>
          <w:b w:val="0"/>
          <w:i w:val="0"/>
          <w:sz w:val="21"/>
        </w:rPr>
        <w:t>The manuscript has been rewritten rather than patched. It is now organized from the top down, every symbol is defined before it is used, and the wording avoids the em dash, the colon and the semicolon throughout at the request of our own readability review. Point by point answers follow.</w:t>
      </w:r>
    </w:p>
    <w:p>
      <w:pPr>
        <w:spacing w:before="280" w:after="80"/>
      </w:pPr>
      <w:r>
        <w:rPr>
          <w:b/>
          <w:color w:val="1F4E79"/>
          <w:sz w:val="26"/>
        </w:rPr>
        <w:t>Summary of the main changes</w:t>
      </w:r>
    </w:p>
    <w:p>
      <w:pPr>
        <w:pStyle w:val="ListNumber"/>
      </w:pPr>
      <w:r>
        <w:rPr>
          <w:sz w:val="21"/>
        </w:rPr>
        <w:t>Repaired the allocation rule so the symbolic layer actually acts, fixed five further defects in training and selection, retrained every model at three seeds from the submitted checkpoints, and regenerated every table. The Lipschitz result is now exact, attained, and verified numerically.</w:t>
      </w:r>
    </w:p>
    <w:p>
      <w:pPr>
        <w:pStyle w:val="ListNumber"/>
      </w:pPr>
      <w:r>
        <w:rPr>
          <w:sz w:val="21"/>
        </w:rPr>
        <w:t>Restated the cross dataset protocol. The main paper now reports transfer with no adaptation of any kind and nothing else. The adapted protocol of the original submission keeps, in each fold, the epoch that scores best on the subject that fold then reports, so it is reported only in the supplementary file and labeled a historical diagnostic.</w:t>
      </w:r>
    </w:p>
    <w:p>
      <w:pPr>
        <w:pStyle w:val="ListNumber"/>
      </w:pPr>
      <w:r>
        <w:rPr>
          <w:sz w:val="21"/>
        </w:rPr>
        <w:t>Added a leave one property out study over all six clinical properties on the full test set.</w:t>
      </w:r>
    </w:p>
    <w:p>
      <w:pPr>
        <w:pStyle w:val="ListNumber"/>
      </w:pPr>
      <w:r>
        <w:rPr>
          <w:sz w:val="21"/>
        </w:rPr>
        <w:t>Added a sensitivity study over the constants of the rule layer, including two alternative conjunctions.</w:t>
      </w:r>
    </w:p>
    <w:p>
      <w:pPr>
        <w:pStyle w:val="ListNumber"/>
      </w:pPr>
      <w:r>
        <w:rPr>
          <w:sz w:val="21"/>
        </w:rPr>
        <w:t>Added a comparison against a plain corrector of the same size trained with the same objective, and against two classical post processing operators.</w:t>
      </w:r>
    </w:p>
    <w:p>
      <w:pPr>
        <w:pStyle w:val="ListNumber"/>
      </w:pPr>
      <w:r>
        <w:rPr>
          <w:sz w:val="21"/>
        </w:rPr>
        <w:t>Added a direct test of whether the confidence map predicts backbone error.</w:t>
      </w:r>
    </w:p>
    <w:p>
      <w:pPr>
        <w:pStyle w:val="ListNumber"/>
      </w:pPr>
      <w:r>
        <w:rPr>
          <w:sz w:val="21"/>
        </w:rPr>
        <w:t>Added a safety analysis that measures invented edges, retention of weak structures, behavior inside dark fluid like regions, and worst case per image change.</w:t>
      </w:r>
    </w:p>
    <w:p>
      <w:pPr>
        <w:pStyle w:val="ListNumber"/>
      </w:pPr>
      <w:r>
        <w:rPr>
          <w:sz w:val="21"/>
        </w:rPr>
        <w:t>Added a numerical check of both theorems and of how often each safety constraint binds.</w:t>
      </w:r>
    </w:p>
    <w:p>
      <w:pPr>
        <w:pStyle w:val="ListNumber"/>
      </w:pPr>
      <w:r>
        <w:rPr>
          <w:sz w:val="21"/>
        </w:rPr>
        <w:t>Added a new section that states the optimization problem, its variables, its constraints and its solver, and a notation table that defines every symbol before first use.</w:t>
      </w:r>
    </w:p>
    <w:p>
      <w:pPr>
        <w:pStyle w:val="ListNumber"/>
      </w:pPr>
      <w:r>
        <w:rPr>
          <w:sz w:val="21"/>
        </w:rPr>
        <w:t>Rewrote the paper from the top down, renamed all uses of the word experiment to test or result, and expanded the literature on neuro symbolic and expert network imaging.</w:t>
      </w:r>
    </w:p>
    <w:p>
      <w:pPr>
        <w:pStyle w:val="ListNumber"/>
      </w:pPr>
      <w:r>
        <w:rPr>
          <w:sz w:val="21"/>
        </w:rPr>
        <w:t>Prepared the release, the code, the trained weights, the result file of every scored run and one driver per table and per figure, with a manifest that maps every quoted number to the script that produced it. We cannot give a link during review without identifying ourselves, so it goes public under a permanent citable identifier on acceptance, and we will supply it to the editorial office in any anonymized form the office prefers.</w:t>
      </w:r>
    </w:p>
    <w:p>
      <w:pPr>
        <w:pStyle w:val="ListNumber"/>
      </w:pPr>
      <w:r>
        <w:rPr>
          <w:sz w:val="21"/>
        </w:rPr>
        <w:t>Read the objective line by line against the training code and corrected three statements it did not support. The clinical term runs over nine quantities as a weighted one sided penalty against a target taken from the backbone, the edge term is weighted toward the clean edges and carries three parts, and a sixth term of bounds and background protection that was active in training is now printed. Ten weight flags are parsed and never used, not three.</w:t>
      </w:r>
    </w:p>
    <w:p>
      <w:r>
        <w:br w:type="page"/>
      </w:r>
    </w:p>
    <w:p>
      <w:pPr>
        <w:spacing w:before="0" w:after="80"/>
      </w:pPr>
      <w:r>
        <w:rPr>
          <w:b/>
          <w:color w:val="1F4E79"/>
          <w:sz w:val="28"/>
        </w:rPr>
        <w:t>Reviewer 1</w:t>
      </w:r>
    </w:p>
    <w:p>
      <w:pPr>
        <w:spacing w:before="200" w:after="40"/>
        <w:ind w:left="173"/>
        <w:shd w:val="clear" w:color="auto" w:fill="EEF3F8"/>
        <w:pBdr>
          <w:left w:val="single" w:sz="18" w:space="8" w:color="1F4E79"/>
        </w:pBdr>
      </w:pPr>
      <w:r>
        <w:rPr>
          <w:b/>
          <w:color w:val="1F4E79"/>
          <w:sz w:val="21"/>
        </w:rPr>
        <w:t xml:space="preserve">Comment 1.1  </w:t>
      </w:r>
      <w:r>
        <w:rPr>
          <w:i/>
          <w:color w:val="444444"/>
          <w:sz w:val="21"/>
        </w:rPr>
        <w:t>In this paper, the confidence head is treated as a per-pixel uncertainty estimator. However, its output is produced by a small CNN trained jointly with the correction modules, and no explicit loss function is provided to enforce its interpretation as confidence or uncertainty. Therefore, it remains unclear why this learned map should be regarded as a calibrated confidence estimate rather than simply another latent attention or gating map.</w:t>
      </w:r>
    </w:p>
    <w:p>
      <w:pPr>
        <w:spacing w:before="120" w:after="40"/>
      </w:pPr>
      <w:r>
        <w:rPr>
          <w:b/>
          <w:sz w:val="21"/>
        </w:rPr>
        <w:t>Response</w:t>
      </w:r>
    </w:p>
    <w:p>
      <w:pPr>
        <w:ind w:left="0"/>
        <w:jc w:val="both"/>
      </w:pPr>
      <w:r>
        <w:rPr>
          <w:b w:val="0"/>
          <w:i w:val="0"/>
          <w:sz w:val="21"/>
        </w:rPr>
        <w:t>The reviewer is right that nothing in the objective forces the map to behave like a confidence, and the submitted paper should not have called it calibrated. We now test the claim directly rather than assert it. Section V H compares the map against the absolute error of the backbone output with respect to the clean reference on every test image. The quantity tested is the demand map $u = 1 - c$, the one the wrapper acts on, and two diagnostics are reported, the rank correlation and the sparsification error. The answer is that the map does not carry the meaning the submitted paper claimed. The pooled rank correlation between the map and the backbone error over the 173 test images is minus 0.258, so the map is not merely uninformative but ordered the wrong way. The sparsification test agrees. Removing the pixels the map ranks as least reliable raises the remaining error to 1.88 times its starting value, against an oracle ranking that reaches 0.07, so the sparsification error is 0.776. We do not report an expected calibration error, since the map is not a probability and no calibration target is defined for it. The component is renamed a learned cooperation map throughout the paper, the word calibrated is not used of the map anywhere, and Section V H states that the map predicts where a correction helps rather than how wrong the backbone is. The map is nevertheless contributing measurably to the result. Replacing it by a constant lowers the contrast gain from plus 3.71 to plus 2.51 percent and worsens five of the six clinical measures, which is why we kept it and renamed it rather than removing it. The cooperation term in Section V A is the only place the map is trained toward a meaning. It rewards agreement between the map and the estimated correction potential, so the map is pushed to be high where the correction has room to act. Whether that coincides with backbone error is exactly what Section V H measures.</w:t>
      </w:r>
    </w:p>
    <w:p>
      <w:pPr>
        <w:spacing w:before="120" w:after="40"/>
      </w:pPr>
      <w:r>
        <w:rPr>
          <w:b/>
          <w:sz w:val="21"/>
        </w:rPr>
        <w:t>Changes in the manuscript</w:t>
      </w:r>
    </w:p>
    <w:p>
      <w:pPr>
        <w:pStyle w:val="ListBullet"/>
        <w:spacing w:after="40"/>
      </w:pPr>
      <w:r>
        <w:rPr>
          <w:sz w:val="21"/>
        </w:rPr>
        <w:t>Section V H is new.</w:t>
      </w:r>
    </w:p>
    <w:p>
      <w:pPr>
        <w:pStyle w:val="ListBullet"/>
        <w:spacing w:after="40"/>
      </w:pPr>
      <w:r>
        <w:rPr>
          <w:sz w:val="21"/>
        </w:rPr>
        <w:t>The map is renamed a learned cooperation map in Section III A and everywhere else it appears, and the word calibrated is removed from the paper.</w:t>
      </w:r>
    </w:p>
    <w:p>
      <w:pPr>
        <w:spacing w:before="200" w:after="40"/>
        <w:ind w:left="173"/>
        <w:shd w:val="clear" w:color="auto" w:fill="EEF3F8"/>
        <w:pBdr>
          <w:left w:val="single" w:sz="18" w:space="8" w:color="1F4E79"/>
        </w:pBdr>
      </w:pPr>
      <w:r>
        <w:rPr>
          <w:b/>
          <w:color w:val="1F4E79"/>
          <w:sz w:val="21"/>
        </w:rPr>
        <w:t xml:space="preserve">Comment 1.2  </w:t>
      </w:r>
      <w:r>
        <w:rPr>
          <w:i/>
          <w:color w:val="444444"/>
          <w:sz w:val="21"/>
        </w:rPr>
        <w:t>The six predicate maps P1 to P6 are central to the proposed neuro-symbolic correction framework. However, the current ablation study does not sufficiently validate their necessity or individual contributions. The authors should provide predicate-level ablation experiments, such as leave-one-predicate-out settings for P1 to P6, to show whether each predicate contributes to the corresponding image-quality improvement.</w:t>
      </w:r>
    </w:p>
    <w:p>
      <w:pPr>
        <w:spacing w:before="120" w:after="40"/>
      </w:pPr>
      <w:r>
        <w:rPr>
          <w:b/>
          <w:sz w:val="21"/>
        </w:rPr>
        <w:t>Response</w:t>
      </w:r>
    </w:p>
    <w:p>
      <w:pPr>
        <w:ind w:left="0"/>
        <w:jc w:val="both"/>
      </w:pPr>
      <w:r>
        <w:rPr>
          <w:b w:val="0"/>
          <w:i w:val="0"/>
          <w:sz w:val="21"/>
        </w:rPr>
        <w:t>We added the study the reviewer asked for. Section V F removes one property at a time at test time, which sets its score to the satisfied value and its failure map to zero, and re evaluates the whole 173 image test set with the reported NAFNet model. Fig. S1 of the supplementary file draws the result and the full table is in the supplementary file. The honest summary is that the six properties are not equally important. The costliest single removal is the speckle conformity property P5, which takes 3.19 points of the equivalent number of looks gain, 1.28 points of boundary sharpness and 0.94 points of the tissue contrast index. Removing the edge continuity property P1 costs 1.72 points of the speckle gain and 0.45 points of the signal to noise gain. Removing the local contrast property P2 costs 0.74 points of the speckle gain and leaves contrast unchanged, at plus 0.12 points. Removing P3 or P6 changes no measure by more than 0.23 points, on the speckle gain for $P_6$, and removing P4 changes no measure by more than 0.04 points. All numbers above were recomputed on the selected checkpoint, the seed 0 model of the tissue bounded gate setting at dead zone 0.6, which is the model Table 3 reports and Table 5 studies. The six failure maps themselves are now Fig. 2 of the main paper, moved in from the supplementary file so a reader can see what each property is looking at before reading what removing it costs. The earlier version of this study had been run on a different checkpoint, and we corrected that before quoting it. We have kept all six rather than pruning the three that are close to inert, for a reason we state in the paper. The properties are the vocabulary of the rule layer and of the explanation shown to the reader, and a property that rarely changes the output on this test set can still be the one that fires on a different scanner or a pathological scan. But we say plainly that on PKU37 three of the six carry almost all of the effect. We stop short of saying that P3, P4 and P6 can be dropped together, since each number above comes from removing one property on its own and we did not measure the three removed at once.</w:t>
      </w:r>
    </w:p>
    <w:p>
      <w:pPr>
        <w:spacing w:before="120" w:after="40"/>
      </w:pPr>
      <w:r>
        <w:rPr>
          <w:b/>
          <w:sz w:val="21"/>
        </w:rPr>
        <w:t>Changes in the manuscript</w:t>
      </w:r>
    </w:p>
    <w:p>
      <w:pPr>
        <w:pStyle w:val="ListBullet"/>
        <w:spacing w:after="40"/>
      </w:pPr>
      <w:r>
        <w:rPr>
          <w:sz w:val="21"/>
        </w:rPr>
        <w:t>Section V F is new, and Fig. S1 of the supplementary file.</w:t>
      </w:r>
    </w:p>
    <w:p>
      <w:pPr>
        <w:pStyle w:val="ListBullet"/>
        <w:spacing w:after="40"/>
      </w:pPr>
      <w:r>
        <w:rPr>
          <w:sz w:val="21"/>
        </w:rPr>
        <w:t>The full leave one out table is in the supplementary file, generated as tab_lopo.tex.</w:t>
      </w:r>
    </w:p>
    <w:p>
      <w:pPr>
        <w:pStyle w:val="ListBullet"/>
        <w:spacing w:after="40"/>
      </w:pPr>
      <w:r>
        <w:rPr>
          <w:sz w:val="21"/>
        </w:rPr>
        <w:t>Section VI B, Limitations, states that half the property set is close to inert on this test set.</w:t>
      </w:r>
    </w:p>
    <w:p>
      <w:pPr>
        <w:spacing w:before="200" w:after="40"/>
        <w:ind w:left="173"/>
        <w:shd w:val="clear" w:color="auto" w:fill="EEF3F8"/>
        <w:pBdr>
          <w:left w:val="single" w:sz="18" w:space="8" w:color="1F4E79"/>
        </w:pBdr>
      </w:pPr>
      <w:r>
        <w:rPr>
          <w:b/>
          <w:color w:val="1F4E79"/>
          <w:sz w:val="21"/>
        </w:rPr>
        <w:t xml:space="preserve">Comment 1.3  </w:t>
      </w:r>
      <w:r>
        <w:rPr>
          <w:i/>
          <w:color w:val="444444"/>
          <w:sz w:val="21"/>
        </w:rPr>
        <w:t>The correction modules may improve image-quality metrics by enhancing contrast and edges. However, they may also introduce artificial sharpening or alter subtle anatomical structures. The manuscript should discuss this potential risk more explicitly, especially regarding whether the proposed correction could hallucinate boundaries, suppress weak structures, or modify clinically relevant details.</w:t>
      </w:r>
    </w:p>
    <w:p>
      <w:pPr>
        <w:spacing w:before="120" w:after="40"/>
      </w:pPr>
      <w:r>
        <w:rPr>
          <w:b/>
          <w:sz w:val="21"/>
        </w:rPr>
        <w:t>Response</w:t>
      </w:r>
    </w:p>
    <w:p>
      <w:pPr>
        <w:ind w:left="0"/>
        <w:jc w:val="both"/>
      </w:pPr>
      <w:r>
        <w:rPr>
          <w:b w:val="0"/>
          <w:i w:val="0"/>
          <w:sz w:val="21"/>
        </w:rPr>
        <w:t>We agree that this is the right question to ask of any method that raises contrast, and the submitted paper did not answer it. Section V J is new and measures the risk directly, using the clean reference that PKU37 provides. Four quantities are reported over the whole test set. The rate at which an edge appears in the corrected image where the reference has none, before and after correction. The rate rises, from 0.45 percent of pixels for the backbone output to 0.48 percent after correction, an increase on 127 of the 173 images. We report this as a cost rather than presenting it as a null result. The retention of weak structures, defined as structures whose contrast in the reference lies in the lowest decile, before and after correction. Retention falls, from 40.5 percent to 37.6 percent, on 168 of the 173 images. This is the clearest cost of the method on this test set and we state it in the results and in the limitations. The behavior inside dark fluid like regions enclosed by tissue, reported as the fraction of the image they occupy and the mean absolute change inside them. Dark regions occupy 1.6 percent of the image area and the mean absolute change inside them is 0.0022, against 0.0067 over the whole image, so the correction is about three times quieter where a hypodense region carries the finding. The largest change on any single image across the test set, and the shift of the two strongest layer boundaries. The mean absolute change over the whole image is 0.0067 and the largest change on any single image is 0.0178. The mean absolute shift of the inner limiting membrane goes from 4.73 to 4.38 pixels and of the retinal pigment epithelium from 9.93 to 10.03 pixels, so the first improves and the second is unchanged within the spread across images. Both happened, and we have done exactly that. The first sentence of Section V J now states that the correction raises the invented edge rate and lowers weak structure retention, both by small but significant amounts, and the limitations name both. We did not soften either, and we did not reselect the model to avoid them, because the selection criterion was fixed on the validation split before the test set was scored. One structural fact bounds the risk. The gate suppresses change in the dark region, so a boundary can only be moved by the additive edge branch within that cap. Section VI B states plainly that no clinician read these images and that a reader study is the correct next step. We also asked whether the criterion that selected the operating point is blind to these two measures, since it scores six clinical measures and fidelity and neither of the safety measures. It is. Measured on the validation split, so that the test split is used once, the setting the criterion ranked second for NAFNet raises weak structure retention from 40.7 to 43.9 percent where the selected setting lowers it to 37.7, and adds less to the invented edge rate. We report this in the limitations and we did not reselect on it, because the criterion was fixed before the test split was scored and changing it afterwards would spend that split twice.</w:t>
      </w:r>
    </w:p>
    <w:p>
      <w:pPr>
        <w:spacing w:before="120" w:after="40"/>
      </w:pPr>
      <w:r>
        <w:rPr>
          <w:b/>
          <w:sz w:val="21"/>
        </w:rPr>
        <w:t>Changes in the manuscript</w:t>
      </w:r>
    </w:p>
    <w:p>
      <w:pPr>
        <w:pStyle w:val="ListBullet"/>
        <w:spacing w:after="40"/>
      </w:pPr>
      <w:r>
        <w:rPr>
          <w:sz w:val="21"/>
        </w:rPr>
        <w:t>Section V J is new.</w:t>
      </w:r>
    </w:p>
    <w:p>
      <w:pPr>
        <w:pStyle w:val="ListBullet"/>
        <w:spacing w:after="40"/>
      </w:pPr>
      <w:r>
        <w:rPr>
          <w:sz w:val="21"/>
        </w:rPr>
        <w:t>Fig. S1 of the supplementary file draws the safety quantities.</w:t>
      </w:r>
    </w:p>
    <w:p>
      <w:pPr>
        <w:pStyle w:val="ListBullet"/>
        <w:spacing w:after="40"/>
      </w:pPr>
      <w:r>
        <w:rPr>
          <w:sz w:val="21"/>
        </w:rPr>
        <w:t>Section VI B states that no expert reading was performed.</w:t>
      </w:r>
    </w:p>
    <w:p>
      <w:pPr>
        <w:pStyle w:val="ListBullet"/>
        <w:spacing w:after="40"/>
      </w:pPr>
      <w:r>
        <w:rPr>
          <w:sz w:val="21"/>
        </w:rPr>
        <w:t>Section VI B states both regressions and reports the validation measurement of what the selection criterion does not see.</w:t>
      </w:r>
    </w:p>
    <w:p>
      <w:pPr>
        <w:spacing w:before="200" w:after="40"/>
        <w:ind w:left="173"/>
        <w:shd w:val="clear" w:color="auto" w:fill="EEF3F8"/>
        <w:pBdr>
          <w:left w:val="single" w:sz="18" w:space="8" w:color="1F4E79"/>
        </w:pBdr>
      </w:pPr>
      <w:r>
        <w:rPr>
          <w:b/>
          <w:color w:val="1F4E79"/>
          <w:sz w:val="21"/>
        </w:rPr>
        <w:t xml:space="preserve">Comment 1.4  </w:t>
      </w:r>
      <w:r>
        <w:rPr>
          <w:i/>
          <w:color w:val="444444"/>
          <w:sz w:val="21"/>
        </w:rPr>
        <w:t>The design of the fuzzy rules and their coefficients requires further discussion. Although the use of Lukasiewicz fuzzy logic is mathematically well-defined, the particular combinations of predicates and manually selected weights, such as 1.5 and 2.0, appear heuristic. The authors should discuss the rationale behind these choices and provide sensitivity or ablation studies with alternative rule structures and weight settings.</w:t>
      </w:r>
    </w:p>
    <w:p>
      <w:pPr>
        <w:spacing w:before="120" w:after="40"/>
      </w:pPr>
      <w:r>
        <w:rPr>
          <w:b/>
          <w:sz w:val="21"/>
        </w:rPr>
        <w:t>Response</w:t>
      </w:r>
    </w:p>
    <w:p>
      <w:pPr>
        <w:ind w:left="0"/>
        <w:jc w:val="both"/>
      </w:pPr>
      <w:r>
        <w:rPr>
          <w:b w:val="0"/>
          <w:i w:val="0"/>
          <w:sz w:val="21"/>
        </w:rPr>
        <w:t>The reviewer's question is what led us to the defect described at the start of this letter, and we answer it in three parts. What the constants were. The weights 1.5 and 2.0 in the submitted paper were the initial values of learnable parameters that never moved, because the rule layer was saturated and received no gradient. They were not chosen at all. What they are now. Section III C states the allocation rule in full. The five budgets are fixed by one identity, that the base ceiling plus the positive budgets equals one and the base floor minus the negative budgets equals zero, which keeps the allocation inside the unit interval without clipping and lets the rule weights train. The rule weights themselves are learned, and Section V B says which quantities were selected on validation. Only one is, the fidelity dead zone, together with the choice of background rule. Whether any of it materially affects the result. Section V F varies the base level, the two rule weights that carry the allocation, and the conjunction, and re evaluates, with the budgets held fixed throughout by the identity above. Across the fourteen variations no measure turns negative. The largest change in any clinical measure is 0.77 points, on contrast, produced by moving the base level to its lowest setting. The budgets are tied by the identity that keeps the allocation inside the unit interval, so they are held fixed and we vary the base level and the two rule weights that carry the allocation, each of which moves the result by less than 0.2 points. Replacing the Lukasiewicz conjunction by the product moves contrast from plus 3.71 to plus 3.54 percent and by the minimum to plus 3.47 percent, with the other five measures within one part in fifty, so the two alternatives do differ but only slightly. We take the first branch and state both sides of it. One constant matters, the base allocation level, and lowering it trades fidelity for contrast in the direction the design predicts. Everything else, including the choice of conjunction, moves the result very little. We say in the paper that this means the result rests on the shape of the rule layer rather than on the particular logic, which is a reassurance about robustness and a limitation on how much the specific fuzzy calculus can be claimed to contribute.</w:t>
      </w:r>
    </w:p>
    <w:p>
      <w:pPr>
        <w:spacing w:before="120" w:after="40"/>
      </w:pPr>
      <w:r>
        <w:rPr>
          <w:b/>
          <w:sz w:val="21"/>
        </w:rPr>
        <w:t>Changes in the manuscript</w:t>
      </w:r>
    </w:p>
    <w:p>
      <w:pPr>
        <w:pStyle w:val="ListBullet"/>
        <w:spacing w:after="40"/>
      </w:pPr>
      <w:r>
        <w:rPr>
          <w:sz w:val="21"/>
        </w:rPr>
        <w:t>Section III C states the allocation rule and the identity that fixes its budgets.</w:t>
      </w:r>
    </w:p>
    <w:p>
      <w:pPr>
        <w:pStyle w:val="ListBullet"/>
        <w:spacing w:after="40"/>
      </w:pPr>
      <w:r>
        <w:rPr>
          <w:sz w:val="21"/>
        </w:rPr>
        <w:t>Section V B states what was selected and how.</w:t>
      </w:r>
    </w:p>
    <w:p>
      <w:pPr>
        <w:pStyle w:val="ListBullet"/>
        <w:spacing w:after="40"/>
      </w:pPr>
      <w:r>
        <w:rPr>
          <w:sz w:val="21"/>
        </w:rPr>
        <w:t>Section V F is the sensitivity study, and Fig. S1 of the supplementary file.</w:t>
      </w:r>
    </w:p>
    <w:p>
      <w:pPr>
        <w:spacing w:before="200" w:after="40"/>
        <w:ind w:left="173"/>
        <w:shd w:val="clear" w:color="auto" w:fill="EEF3F8"/>
        <w:pBdr>
          <w:left w:val="single" w:sz="18" w:space="8" w:color="1F4E79"/>
        </w:pBdr>
      </w:pPr>
      <w:r>
        <w:rPr>
          <w:b/>
          <w:color w:val="1F4E79"/>
          <w:sz w:val="21"/>
        </w:rPr>
        <w:t xml:space="preserve">Comment 1.5  </w:t>
      </w:r>
      <w:r>
        <w:rPr>
          <w:i/>
          <w:color w:val="444444"/>
          <w:sz w:val="21"/>
        </w:rPr>
        <w:t>The literature review on the Deep expert network with neuro-symbolic AI is insufficient. The authors should expand the Introduction and Discussion to include those recent works.</w:t>
      </w:r>
    </w:p>
    <w:p>
      <w:pPr>
        <w:spacing w:before="120" w:after="40"/>
      </w:pPr>
      <w:r>
        <w:rPr>
          <w:b/>
          <w:sz w:val="21"/>
        </w:rPr>
        <w:t>Response</w:t>
      </w:r>
    </w:p>
    <w:p>
      <w:pPr>
        <w:ind w:left="0"/>
        <w:jc w:val="both"/>
      </w:pPr>
      <w:r>
        <w:rPr>
          <w:b w:val="0"/>
          <w:i w:val="0"/>
          <w:sz w:val="21"/>
        </w:rPr>
        <w:t>We agree and we have expanded both the review and the discussion. The related work is now Section I C, and its third part, on symbolic reasoning and expert networks joined with neural networks, is new. It covers three strands. The first is neuro symbolic work in medical imaging, including report generation that pairs a generative network with a symbolic knowledge graph, a probabilistic logic program layered on a convolutional feature extractor, and a knowledge graph attached to a learned model for corneal topography. The second is fuzzy rule systems embedded inside networks, including rough fuzzy discretization inside a network that processes OCT directly, and pixel level fuzzy rules used in place of a learned attention block. The third is expert network work, including steered mixtures of experts for denoising, its application to OCT speckle, and restoration networks that route an input through experts of different capacity. Thirteen works are now cited and discussed in that subsection, ten of them added in this revision. Section I C positions our method against them and Section VI B says what the correction layer buys. The common principle is that a learned component becomes easier to trust when part of the decision is written in a language a person can read. What is missing in that literature is a rule layer that acts on the output of a strong denoiser, names the clinical properties it protects, and limits how far it may move the image.</w:t>
      </w:r>
    </w:p>
    <w:p>
      <w:pPr>
        <w:spacing w:before="120" w:after="40"/>
      </w:pPr>
      <w:r>
        <w:rPr>
          <w:b/>
          <w:sz w:val="21"/>
        </w:rPr>
        <w:t>Changes in the manuscript</w:t>
      </w:r>
    </w:p>
    <w:p>
      <w:pPr>
        <w:pStyle w:val="ListBullet"/>
        <w:spacing w:after="40"/>
      </w:pPr>
      <w:r>
        <w:rPr>
          <w:sz w:val="21"/>
        </w:rPr>
        <w:t>Section I C is new.</w:t>
      </w:r>
    </w:p>
    <w:p>
      <w:pPr>
        <w:pStyle w:val="ListBullet"/>
        <w:spacing w:after="40"/>
      </w:pPr>
      <w:r>
        <w:rPr>
          <w:sz w:val="21"/>
        </w:rPr>
        <w:t>Eleven references added.</w:t>
      </w:r>
    </w:p>
    <w:p>
      <w:pPr>
        <w:pStyle w:val="ListBullet"/>
        <w:spacing w:after="40"/>
      </w:pPr>
      <w:r>
        <w:rPr>
          <w:sz w:val="21"/>
        </w:rPr>
        <w:t>Section VI B positions the method against that literature.</w:t>
      </w:r>
    </w:p>
    <w:p>
      <w:pPr>
        <w:spacing w:before="200" w:after="40"/>
        <w:ind w:left="173"/>
        <w:shd w:val="clear" w:color="auto" w:fill="EEF3F8"/>
        <w:pBdr>
          <w:left w:val="single" w:sz="18" w:space="8" w:color="1F4E79"/>
        </w:pBdr>
      </w:pPr>
      <w:r>
        <w:rPr>
          <w:b/>
          <w:color w:val="1F4E79"/>
          <w:sz w:val="21"/>
        </w:rPr>
        <w:t xml:space="preserve">Comment 1.6  </w:t>
      </w:r>
      <w:r>
        <w:rPr>
          <w:i/>
          <w:color w:val="444444"/>
          <w:sz w:val="21"/>
        </w:rPr>
        <w:t>Although this work is well written, there are still some typo and grammar errors in the manuscript. Please check the manuscript and revise them.</w:t>
      </w:r>
    </w:p>
    <w:p>
      <w:pPr>
        <w:spacing w:before="120" w:after="40"/>
      </w:pPr>
      <w:r>
        <w:rPr>
          <w:b/>
          <w:sz w:val="21"/>
        </w:rPr>
        <w:t>Response</w:t>
      </w:r>
    </w:p>
    <w:p>
      <w:pPr>
        <w:ind w:left="0"/>
        <w:jc w:val="both"/>
      </w:pPr>
      <w:r>
        <w:rPr>
          <w:b w:val="0"/>
          <w:i w:val="0"/>
          <w:sz w:val="21"/>
        </w:rPr>
        <w:t>Thank you. The manuscript and the supplementary file have been revised for grammar, terminology, notation and sentence clarity rather than proof read in place. We also checked the section references, the figure captions and the tables against the built documents, so every pointer resolves to the place it names. The words experiment and experimental have been removed throughout, which is Reviewer 3 comment 15.</w:t>
      </w:r>
    </w:p>
    <w:p>
      <w:pPr>
        <w:spacing w:before="120" w:after="40"/>
      </w:pPr>
      <w:r>
        <w:rPr>
          <w:b/>
          <w:sz w:val="21"/>
        </w:rPr>
        <w:t>Changes in the manuscript</w:t>
      </w:r>
    </w:p>
    <w:p>
      <w:pPr>
        <w:pStyle w:val="ListBullet"/>
        <w:spacing w:after="40"/>
      </w:pPr>
      <w:r>
        <w:rPr>
          <w:sz w:val="21"/>
        </w:rPr>
        <w:t>The manuscript and supplementary file were revised for language, notation and clarity.</w:t>
      </w:r>
    </w:p>
    <w:p>
      <w:pPr>
        <w:pStyle w:val="ListBullet"/>
        <w:spacing w:after="40"/>
      </w:pPr>
      <w:r>
        <w:rPr>
          <w:sz w:val="21"/>
        </w:rPr>
        <w:t>Every section, table, figure and equation reference was checked against the built documents.</w:t>
      </w:r>
    </w:p>
    <w:p>
      <w:pPr>
        <w:pStyle w:val="ListBullet"/>
        <w:spacing w:after="40"/>
      </w:pPr>
      <w:r>
        <w:rPr>
          <w:sz w:val="21"/>
        </w:rPr>
        <w:t>The words experiment and experimental do not appear in either document.</w:t>
      </w:r>
    </w:p>
    <w:p>
      <w:r>
        <w:br w:type="page"/>
      </w:r>
    </w:p>
    <w:p>
      <w:pPr>
        <w:spacing w:before="0" w:after="80"/>
      </w:pPr>
      <w:r>
        <w:rPr>
          <w:b/>
          <w:color w:val="1F4E79"/>
          <w:sz w:val="28"/>
        </w:rPr>
        <w:t>Reviewer 2</w:t>
      </w:r>
    </w:p>
    <w:p>
      <w:pPr>
        <w:spacing w:before="200" w:after="40"/>
        <w:ind w:left="173"/>
        <w:shd w:val="clear" w:color="auto" w:fill="EEF3F8"/>
        <w:pBdr>
          <w:left w:val="single" w:sz="18" w:space="8" w:color="1F4E79"/>
        </w:pBdr>
      </w:pPr>
      <w:r>
        <w:rPr>
          <w:b/>
          <w:color w:val="1F4E79"/>
          <w:sz w:val="21"/>
        </w:rPr>
        <w:t xml:space="preserve">Comment 2.1  </w:t>
      </w:r>
      <w:r>
        <w:rPr>
          <w:i/>
          <w:color w:val="444444"/>
          <w:sz w:val="21"/>
        </w:rPr>
        <w:t>Please clarify the exact cross-dataset and leave-one-out training protocol for Duke17 and Duke2013. The manuscript states that the corrector is trained once on PKU37 and transferred to the external datasets, but the experimental section also describes LOO evaluation as training on n-1 images and testing on the held-out image. It should be explicitly stated which components, if any, are trained, fine-tuned, calibrated, or threshold-adjusted using the n-1 Duke samples in each fold.</w:t>
      </w:r>
    </w:p>
    <w:p>
      <w:pPr>
        <w:spacing w:before="120" w:after="40"/>
      </w:pPr>
      <w:r>
        <w:rPr>
          <w:b/>
          <w:sz w:val="21"/>
        </w:rPr>
        <w:t>Response</w:t>
      </w:r>
    </w:p>
    <w:p>
      <w:pPr>
        <w:ind w:left="0"/>
        <w:jc w:val="both"/>
      </w:pPr>
      <w:r>
        <w:rPr>
          <w:b w:val="0"/>
          <w:i w:val="0"/>
          <w:sz w:val="21"/>
        </w:rPr>
        <w:t>The reviewer is right, and the two descriptions in the submitted paper were not consistent. We investigated and the implementation audit settled it. The submitted cross dataset numbers were produced by a script that resumes from the corrector trained on PKU37 and then fine tunes it for fifteen epochs on the other images of the target dataset in every fold, with elastic weight consolidation and with the backbone frozen except for the confidence head. That is few shot adaptation on the target scanner. It is not the transfer without training that the text claimed. We corrected this in the strongest way available, which is to make the honest protocol the primary one. Section V C, under the heading Transfer protocol, states the protocol exactly. Table 4 reports the model trained once on PKU37 and applied directly to Duke17 and Duke2013, with no parameter updated, no threshold recalibrated, and no statistic of the target images used to select anything. The only per image quantity is the background gate, which is part of the method and is computed identically on PKU37. The selected NAFNet setting does use the tissue bounded gate, so that sentence was changed. It now says that no Duke statistic is used to select anything beyond the per image quantity the gate itself computes, by the same rule already applied on PKU37, which is true of both members of the gate family. Section V B names the gate selected for each backbone. The revision also splits the single merged table of the first revision into three. Table 3 is the test set, Table 4 the transfer with nothing refitted, and Table 5 the component removals and the alternative operators. Table 4 gives the mean over three seeds for all four backbones on both target sets, with the seed spread in the fidelity column and encoded as bold in the clinical columns, and Table S6 of the supplementary file restores the spread of every clinical cell. Of those 48 backbone by measure by set pairs 40 are positive, with contrast rising in every one of the eight rows. The adapted protocol is reported only in Table S7 of the supplementary file. Each of its folds keeps the epoch that scores best on the subject it then reports, so those numbers are selected on the data they describe. We label them a historical diagnostic and do not use them to argue what adaptation achieves.</w:t>
      </w:r>
    </w:p>
    <w:p>
      <w:pPr>
        <w:spacing w:before="120" w:after="40"/>
      </w:pPr>
      <w:r>
        <w:rPr>
          <w:b/>
          <w:sz w:val="21"/>
        </w:rPr>
        <w:t>Changes in the manuscript</w:t>
      </w:r>
    </w:p>
    <w:p>
      <w:pPr>
        <w:pStyle w:val="ListBullet"/>
        <w:spacing w:after="40"/>
      </w:pPr>
      <w:r>
        <w:rPr>
          <w:sz w:val="21"/>
        </w:rPr>
        <w:t>Section V C, under the heading Transfer protocol, is new.</w:t>
      </w:r>
    </w:p>
    <w:p>
      <w:pPr>
        <w:pStyle w:val="ListBullet"/>
        <w:spacing w:after="40"/>
      </w:pPr>
      <w:r>
        <w:rPr>
          <w:sz w:val="21"/>
        </w:rPr>
        <w:t>Table 4 is the frozen transfer and Table S7 of the supplementary file is the adapted protocol, kept as a historical diagnostic.</w:t>
      </w:r>
    </w:p>
    <w:p>
      <w:pPr>
        <w:pStyle w:val="ListBullet"/>
        <w:spacing w:after="40"/>
      </w:pPr>
      <w:r>
        <w:rPr>
          <w:sz w:val="21"/>
        </w:rPr>
        <w:t>Both protocols have a driver in the release, scripts/eval_transfer.sh and scripts/eval_transfer_adapted.sh.</w:t>
      </w:r>
    </w:p>
    <w:p>
      <w:pPr>
        <w:spacing w:before="200" w:after="40"/>
        <w:ind w:left="173"/>
        <w:shd w:val="clear" w:color="auto" w:fill="EEF3F8"/>
        <w:pBdr>
          <w:left w:val="single" w:sz="18" w:space="8" w:color="1F4E79"/>
        </w:pBdr>
      </w:pPr>
      <w:r>
        <w:rPr>
          <w:b/>
          <w:color w:val="1F4E79"/>
          <w:sz w:val="21"/>
        </w:rPr>
        <w:t xml:space="preserve">Comment 2.2  </w:t>
      </w:r>
      <w:r>
        <w:rPr>
          <w:i/>
          <w:color w:val="444444"/>
          <w:sz w:val="21"/>
        </w:rPr>
        <w:t>Please add a short practical discussion of the observed PSNR decrease, particularly the relatively larger reduction for SwinIR on PKU37, and explain when the improvement in clinical metrics would justify this fidelity trade-off in real OCT applications.</w:t>
      </w:r>
    </w:p>
    <w:p>
      <w:pPr>
        <w:spacing w:before="120" w:after="40"/>
      </w:pPr>
      <w:r>
        <w:rPr>
          <w:b/>
          <w:sz w:val="21"/>
        </w:rPr>
        <w:t>Response</w:t>
      </w:r>
    </w:p>
    <w:p>
      <w:pPr>
        <w:ind w:left="0"/>
        <w:jc w:val="both"/>
      </w:pPr>
      <w:r>
        <w:rPr>
          <w:b w:val="0"/>
          <w:i w:val="0"/>
          <w:sz w:val="21"/>
        </w:rPr>
        <w:t>Section VI A is new and explains the trade off and when it is worth accepting. A denoiser trained on squared error already sits near a local optimum of that error, so a change that raises contrast or boundary definition generally moves away from it. We now report this as an observed average rather than a rule. Fidelity falls in the mean on all four backbones, from 0.17 dB on SwinIR to 0.98 dB on DnCNN, and it does not fall on every image, since the NAFNet panel of Fig. 3 gains 0.02 dB while its contrast rises. What we claim is the trade the means describe, an average cost under one decibel against gains in the quantities a grader uses to place a boundary or judge a fluid pocket. We have removed the comparison with the variation between two acquisitions of the same eye, since we did not measure that variation on this data and should not have asserted it. On the transformer backbone we owe the reviewer a correction as well as an explanation. Part of the SwinIR drop in the submitted version was ours. That corrector had been trained against a half resolution cache of the backbone output and then tested against the full resolution output, and the two references differ by 1.61 dB. The cache now runs at full resolution. The revised SwinIR number is therefore not comparable with the submitted one, and the discussion in Section VI A explains the remaining drop by the windowed attention, which smooths aggressively inside a window and so gives away the most contrast for the correction to restore. The safety layer already provides the control for a deployment that cannot accept any loss. Tightening the third constraint reduces the admitted change and the output moves back toward the backbone. The dead zone of the fidelity term is the training time counterpart, and Section V B reports how the result moves with it. We have also withdrawn the suggestion that tightening the third constraint moves the output back toward the backbone. It does not, because the rule accepts the candidate in full whenever any two of the three constraints hold, so tightening one of them changes nothing while the other two are satisfied. A deployment that must lose less fidelity should lower the gain bound instead.</w:t>
      </w:r>
    </w:p>
    <w:p>
      <w:pPr>
        <w:spacing w:before="120" w:after="40"/>
      </w:pPr>
      <w:r>
        <w:rPr>
          <w:b/>
          <w:sz w:val="21"/>
        </w:rPr>
        <w:t>Changes in the manuscript</w:t>
      </w:r>
    </w:p>
    <w:p>
      <w:pPr>
        <w:pStyle w:val="ListBullet"/>
        <w:spacing w:after="40"/>
      </w:pPr>
      <w:r>
        <w:rPr>
          <w:sz w:val="21"/>
        </w:rPr>
        <w:t>Section VI A is new.</w:t>
      </w:r>
    </w:p>
    <w:p>
      <w:pPr>
        <w:pStyle w:val="ListBullet"/>
        <w:spacing w:after="40"/>
      </w:pPr>
      <w:r>
        <w:rPr>
          <w:sz w:val="21"/>
        </w:rPr>
        <w:t>The SwinIR reference mismatch is stated and corrected, see the opening of this letter.</w:t>
      </w:r>
    </w:p>
    <w:p>
      <w:pPr>
        <w:pStyle w:val="ListBullet"/>
        <w:spacing w:after="40"/>
      </w:pPr>
      <w:r>
        <w:rPr>
          <w:sz w:val="21"/>
        </w:rPr>
        <w:t>Section V B reports the dead zone as the one tuned fidelity budget.</w:t>
      </w:r>
    </w:p>
    <w:p>
      <w:r>
        <w:br w:type="page"/>
      </w:r>
    </w:p>
    <w:p>
      <w:pPr>
        <w:spacing w:before="0" w:after="80"/>
      </w:pPr>
      <w:r>
        <w:rPr>
          <w:b/>
          <w:color w:val="1F4E79"/>
          <w:sz w:val="28"/>
        </w:rPr>
        <w:t>Reviewer 3</w:t>
      </w:r>
    </w:p>
    <w:p>
      <w:pPr>
        <w:spacing w:before="200" w:after="40"/>
        <w:ind w:left="173"/>
        <w:shd w:val="clear" w:color="auto" w:fill="EEF3F8"/>
        <w:pBdr>
          <w:left w:val="single" w:sz="18" w:space="8" w:color="1F4E79"/>
        </w:pBdr>
      </w:pPr>
      <w:r>
        <w:rPr>
          <w:b/>
          <w:color w:val="1F4E79"/>
          <w:sz w:val="21"/>
        </w:rPr>
        <w:t xml:space="preserve">Comment 3.1  </w:t>
      </w:r>
      <w:r>
        <w:rPr>
          <w:i/>
          <w:color w:val="444444"/>
          <w:sz w:val="21"/>
        </w:rPr>
        <w:t>You should better highlight the new ideas of this paper.</w:t>
      </w:r>
    </w:p>
    <w:p>
      <w:pPr>
        <w:spacing w:before="120" w:after="40"/>
      </w:pPr>
      <w:r>
        <w:rPr>
          <w:b/>
          <w:sz w:val="21"/>
        </w:rPr>
        <w:t>Response</w:t>
      </w:r>
    </w:p>
    <w:p>
      <w:pPr>
        <w:ind w:left="0"/>
        <w:jc w:val="both"/>
      </w:pPr>
      <w:r>
        <w:rPr>
          <w:b w:val="0"/>
          <w:i w:val="0"/>
          <w:sz w:val="21"/>
        </w:rPr>
        <w:t>The introduction has been rebuilt. Section I B now gives a numbered list of four new ideas, each with a pointer to the section that delivers it. They are the statement of post correction as a constrained optimization problem, the six clinical properties in closed form, the fuzzy allocation rule with a proved and measured sensitivity bound, the safety layer that decides how much of a proposal to keep, and transfer evidence that separates transfer without training from transfer with adaptation. The list also says what is not new. Edge filters, confidence maps and fuzzy operators are not claimed as contributions on their own.</w:t>
      </w:r>
    </w:p>
    <w:p>
      <w:pPr>
        <w:spacing w:before="120" w:after="40"/>
      </w:pPr>
      <w:r>
        <w:rPr>
          <w:b/>
          <w:sz w:val="21"/>
        </w:rPr>
        <w:t>Changes in the manuscript</w:t>
      </w:r>
    </w:p>
    <w:p>
      <w:pPr>
        <w:pStyle w:val="ListBullet"/>
        <w:spacing w:after="40"/>
      </w:pPr>
      <w:r>
        <w:rPr>
          <w:sz w:val="21"/>
        </w:rPr>
        <w:t>Section I B is new.</w:t>
      </w:r>
    </w:p>
    <w:p>
      <w:pPr>
        <w:spacing w:before="200" w:after="40"/>
        <w:ind w:left="173"/>
        <w:shd w:val="clear" w:color="auto" w:fill="EEF3F8"/>
        <w:pBdr>
          <w:left w:val="single" w:sz="18" w:space="8" w:color="1F4E79"/>
        </w:pBdr>
      </w:pPr>
      <w:r>
        <w:rPr>
          <w:b/>
          <w:color w:val="1F4E79"/>
          <w:sz w:val="21"/>
        </w:rPr>
        <w:t xml:space="preserve">Comment 3.2  </w:t>
      </w:r>
      <w:r>
        <w:rPr>
          <w:i/>
          <w:color w:val="444444"/>
          <w:sz w:val="21"/>
        </w:rPr>
        <w:t>The motivation of your approach requires better highlighting as well.</w:t>
      </w:r>
    </w:p>
    <w:p>
      <w:pPr>
        <w:spacing w:before="120" w:after="40"/>
      </w:pPr>
      <w:r>
        <w:rPr>
          <w:b/>
          <w:sz w:val="21"/>
        </w:rPr>
        <w:t>Response</w:t>
      </w:r>
    </w:p>
    <w:p>
      <w:pPr>
        <w:ind w:left="0"/>
        <w:jc w:val="both"/>
      </w:pPr>
      <w:r>
        <w:rPr>
          <w:b w:val="0"/>
          <w:i w:val="0"/>
          <w:sz w:val="21"/>
        </w:rPr>
        <w:t>Section I A now argues the motivation from the clinical problem downward. The gap is not a missing denoiser, since strong denoisers already exist. It is the absence of anything between the denoiser and the reader that states what a good OCT image should look like and repairs the specific ways a denoised image falls short. We also say why building that missing part as another neural block would reproduce the original problem, because the reason for every change would again be hidden in learned weights.</w:t>
      </w:r>
    </w:p>
    <w:p>
      <w:pPr>
        <w:spacing w:before="120" w:after="40"/>
      </w:pPr>
      <w:r>
        <w:rPr>
          <w:b/>
          <w:sz w:val="21"/>
        </w:rPr>
        <w:t>Changes in the manuscript</w:t>
      </w:r>
    </w:p>
    <w:p>
      <w:pPr>
        <w:pStyle w:val="ListBullet"/>
        <w:spacing w:after="40"/>
      </w:pPr>
      <w:r>
        <w:rPr>
          <w:sz w:val="21"/>
        </w:rPr>
        <w:t>Section I A rewritten.</w:t>
      </w:r>
    </w:p>
    <w:p>
      <w:pPr>
        <w:spacing w:before="200" w:after="40"/>
        <w:ind w:left="173"/>
        <w:shd w:val="clear" w:color="auto" w:fill="EEF3F8"/>
        <w:pBdr>
          <w:left w:val="single" w:sz="18" w:space="8" w:color="1F4E79"/>
        </w:pBdr>
      </w:pPr>
      <w:r>
        <w:rPr>
          <w:b/>
          <w:color w:val="1F4E79"/>
          <w:sz w:val="21"/>
        </w:rPr>
        <w:t xml:space="preserve">Comment 3.3  </w:t>
      </w:r>
      <w:r>
        <w:rPr>
          <w:i/>
          <w:color w:val="444444"/>
          <w:sz w:val="21"/>
        </w:rPr>
        <w:t>Besides, the following ideas on modeling are recommended to be included because of their successful applications in various fields. Evolving fuzzy models of shape memory alloy wire actuators (RJIST 2021), Model-data-driven image reconstruction with neural networks for ultrasound computed tomography breast imaging (NEUCOM 2022), Effect of random variation of the initial values of ordinary differential equations and its web-based application to chemical kinetics (RJIST 2025).</w:t>
      </w:r>
    </w:p>
    <w:p>
      <w:pPr>
        <w:spacing w:before="120" w:after="40"/>
      </w:pPr>
      <w:r>
        <w:rPr>
          <w:b/>
          <w:sz w:val="21"/>
        </w:rPr>
        <w:t>Response</w:t>
      </w:r>
    </w:p>
    <w:p>
      <w:pPr>
        <w:ind w:left="0"/>
        <w:jc w:val="both"/>
      </w:pPr>
      <w:r>
        <w:rPr>
          <w:b w:val="0"/>
          <w:i w:val="0"/>
          <w:sz w:val="21"/>
        </w:rPr>
        <w:t>All three works are now cited and discussed where they are relevant rather than listed. The evolving fuzzy model work is cited in the subsection on fuzzy and expert systems as an example of identifying model structure from data. The model and data driven reconstruction work is cited as an example of combining a learned component with a physical forward operator. The work on the sensitivity of a differential model to its initial values is cited in the same paragraph as an example of studying how a model responds to perturbation of its inputs, which is the same question our stability analysis asks of the rule layer. The bibliography gives volume, issue, pages and year for every entry and no digital object identifiers, which is the style used throughout. We were unable to verify a digital object identifier for the first of the three on the publisher pages we could reach, so that entry is given with its volume, issue, pages and year and without a digital object identifier. We will add it if the editorial office can supply it.</w:t>
      </w:r>
    </w:p>
    <w:p>
      <w:pPr>
        <w:spacing w:before="120" w:after="40"/>
      </w:pPr>
      <w:r>
        <w:rPr>
          <w:b/>
          <w:sz w:val="21"/>
        </w:rPr>
        <w:t>Changes in the manuscript</w:t>
      </w:r>
    </w:p>
    <w:p>
      <w:pPr>
        <w:pStyle w:val="ListBullet"/>
        <w:spacing w:after="40"/>
      </w:pPr>
      <w:r>
        <w:rPr>
          <w:sz w:val="21"/>
        </w:rPr>
        <w:t>Three references added and discussed in Section I C.</w:t>
      </w:r>
    </w:p>
    <w:p>
      <w:pPr>
        <w:spacing w:before="200" w:after="40"/>
        <w:ind w:left="173"/>
        <w:shd w:val="clear" w:color="auto" w:fill="EEF3F8"/>
        <w:pBdr>
          <w:left w:val="single" w:sz="18" w:space="8" w:color="1F4E79"/>
        </w:pBdr>
      </w:pPr>
      <w:r>
        <w:rPr>
          <w:b/>
          <w:color w:val="1F4E79"/>
          <w:sz w:val="21"/>
        </w:rPr>
        <w:t xml:space="preserve">Comment 3.4  </w:t>
      </w:r>
      <w:r>
        <w:rPr>
          <w:i/>
          <w:color w:val="444444"/>
          <w:sz w:val="21"/>
        </w:rPr>
        <w:t>How do you define the stability?</w:t>
      </w:r>
    </w:p>
    <w:p>
      <w:pPr>
        <w:spacing w:before="120" w:after="40"/>
      </w:pPr>
      <w:r>
        <w:rPr>
          <w:b/>
          <w:sz w:val="21"/>
        </w:rPr>
        <w:t>Response</w:t>
      </w:r>
    </w:p>
    <w:p>
      <w:pPr>
        <w:ind w:left="0"/>
        <w:jc w:val="both"/>
      </w:pPr>
      <w:r>
        <w:rPr>
          <w:b w:val="0"/>
          <w:i w:val="0"/>
          <w:sz w:val="21"/>
        </w:rPr>
        <w:t>This was a fair criticism, because the submitted paper used the word without defining it. Section III C now gives Definition 1 before the theorem and says what the word does not mean here. It is not stability in the sense of Lyapunov and we claim no fixed point. The definition, Equation 5, is Lipschitz stability of the allocation with respect to the vector of the five rule truth values in the maximum norm, and its constant is Equation 6. A small change in the evidence produces a proportionally small change in the decision, and the constant is the worst case ratio between the two. We chose that notion because the rule truth values are exactly what shift when the backbone is replaced or the scanner changes, so bounding the response to them is the property that matters for the transfer claim. Section V I then measures the realized ratio on real images against the constant.</w:t>
      </w:r>
    </w:p>
    <w:p>
      <w:pPr>
        <w:spacing w:before="120" w:after="40"/>
      </w:pPr>
      <w:r>
        <w:rPr>
          <w:b/>
          <w:sz w:val="21"/>
        </w:rPr>
        <w:t>Changes in the manuscript</w:t>
      </w:r>
    </w:p>
    <w:p>
      <w:pPr>
        <w:pStyle w:val="ListBullet"/>
        <w:spacing w:after="40"/>
      </w:pPr>
      <w:r>
        <w:rPr>
          <w:sz w:val="21"/>
        </w:rPr>
        <w:t>Section III C, Definition 1 and Equation 11.</w:t>
      </w:r>
    </w:p>
    <w:p>
      <w:pPr>
        <w:pStyle w:val="ListBullet"/>
        <w:spacing w:after="40"/>
      </w:pPr>
      <w:r>
        <w:rPr>
          <w:sz w:val="21"/>
        </w:rPr>
        <w:t>Section V I measures the constant, see the response to comment 3.12.</w:t>
      </w:r>
    </w:p>
    <w:p>
      <w:pPr>
        <w:spacing w:before="200" w:after="40"/>
        <w:ind w:left="173"/>
        <w:shd w:val="clear" w:color="auto" w:fill="EEF3F8"/>
        <w:pBdr>
          <w:left w:val="single" w:sz="18" w:space="8" w:color="1F4E79"/>
        </w:pBdr>
      </w:pPr>
      <w:r>
        <w:rPr>
          <w:b/>
          <w:color w:val="1F4E79"/>
          <w:sz w:val="21"/>
        </w:rPr>
        <w:t xml:space="preserve">Comment 3.5  </w:t>
      </w:r>
      <w:r>
        <w:rPr>
          <w:i/>
          <w:color w:val="444444"/>
          <w:sz w:val="21"/>
        </w:rPr>
        <w:t>Optimization is mentioned within the paper. Which is the optimization problem and how is it solved? Optimization could be well linked to learning.</w:t>
      </w:r>
    </w:p>
    <w:p>
      <w:pPr>
        <w:spacing w:before="120" w:after="40"/>
      </w:pPr>
      <w:r>
        <w:rPr>
          <w:b/>
          <w:sz w:val="21"/>
        </w:rPr>
        <w:t>Response</w:t>
      </w:r>
    </w:p>
    <w:p>
      <w:pPr>
        <w:ind w:left="0"/>
        <w:jc w:val="both"/>
      </w:pPr>
      <w:r>
        <w:rPr>
          <w:b w:val="0"/>
          <w:i w:val="0"/>
          <w:sz w:val="21"/>
        </w:rPr>
        <w:t>Section II B is new and states the problem in the standard form. The decision variables are the wrapper parameters, with the backbone parameters held fixed. The objective is the expectation over paired data of a weighted sum of six terms, Equation 1, each of which is defined in Section V A. The three constraints are stated and then given formally in Section IV B. The problem is solved by mini batch stochastic gradient descent with AdamW, which is possible because every logical connective is replaced by a smooth piecewise linear surrogate. The reviewer notes that optimization could be well linked to learning, and we have made that link explicit. The constraints are handled in two ways that the section now distinguishes. During training they enter the objective as penalties, which is the learning part. At test time they are evaluated exactly on each image and the number that hold decides how much of the proposed change is applied, which is what makes them used to set the blend weight through the majority rule.</w:t>
      </w:r>
    </w:p>
    <w:p>
      <w:pPr>
        <w:spacing w:before="120" w:after="40"/>
      </w:pPr>
      <w:r>
        <w:rPr>
          <w:b/>
          <w:sz w:val="21"/>
        </w:rPr>
        <w:t>Changes in the manuscript</w:t>
      </w:r>
    </w:p>
    <w:p>
      <w:pPr>
        <w:pStyle w:val="ListBullet"/>
        <w:spacing w:after="40"/>
      </w:pPr>
      <w:r>
        <w:rPr>
          <w:sz w:val="21"/>
        </w:rPr>
        <w:t>Section II B is new.</w:t>
      </w:r>
    </w:p>
    <w:p>
      <w:pPr>
        <w:spacing w:before="200" w:after="40"/>
        <w:ind w:left="173"/>
        <w:shd w:val="clear" w:color="auto" w:fill="EEF3F8"/>
        <w:pBdr>
          <w:left w:val="single" w:sz="18" w:space="8" w:color="1F4E79"/>
        </w:pBdr>
      </w:pPr>
      <w:r>
        <w:rPr>
          <w:b/>
          <w:color w:val="1F4E79"/>
          <w:sz w:val="21"/>
        </w:rPr>
        <w:t xml:space="preserve">Comment 3.6  </w:t>
      </w:r>
      <w:r>
        <w:rPr>
          <w:i/>
          <w:color w:val="444444"/>
          <w:sz w:val="21"/>
        </w:rPr>
        <w:t>You are using embedded notations, which are understood by a narrow area of readers.</w:t>
      </w:r>
    </w:p>
    <w:p>
      <w:pPr>
        <w:spacing w:before="120" w:after="40"/>
      </w:pPr>
      <w:r>
        <w:rPr>
          <w:b/>
          <w:sz w:val="21"/>
        </w:rPr>
        <w:t>Response</w:t>
      </w:r>
    </w:p>
    <w:p>
      <w:pPr>
        <w:ind w:left="0"/>
        <w:jc w:val="both"/>
      </w:pPr>
      <w:r>
        <w:rPr>
          <w:b w:val="0"/>
          <w:i w:val="0"/>
          <w:sz w:val="21"/>
        </w:rPr>
        <w:t>We agree that the notation was dense. Section II A is new and fixes it. Every symbol is now defined in words at its first use. Table 1 collects the symbols that recur across sections, in the order in which the paper introduces them, and a symbol used in one place only is defined in the sentence that introduces it. Nested subscripts have been removed. Quantities that were written with a descriptive subscript inside a hat are now single letters. As one example, the corrected candidate is now simply q.</w:t>
      </w:r>
    </w:p>
    <w:p>
      <w:pPr>
        <w:spacing w:before="120" w:after="40"/>
      </w:pPr>
      <w:r>
        <w:rPr>
          <w:b/>
          <w:sz w:val="21"/>
        </w:rPr>
        <w:t>Changes in the manuscript</w:t>
      </w:r>
    </w:p>
    <w:p>
      <w:pPr>
        <w:pStyle w:val="ListBullet"/>
        <w:spacing w:after="40"/>
      </w:pPr>
      <w:r>
        <w:rPr>
          <w:sz w:val="21"/>
        </w:rPr>
        <w:t>Section II A and Table 1.</w:t>
      </w:r>
    </w:p>
    <w:p>
      <w:pPr>
        <w:pStyle w:val="ListBullet"/>
        <w:spacing w:after="40"/>
      </w:pPr>
      <w:r>
        <w:rPr>
          <w:sz w:val="21"/>
        </w:rPr>
        <w:t>Nested and descriptive subscripts replaced by single letters throughout.</w:t>
      </w:r>
    </w:p>
    <w:p>
      <w:pPr>
        <w:spacing w:before="200" w:after="40"/>
        <w:ind w:left="173"/>
        <w:shd w:val="clear" w:color="auto" w:fill="EEF3F8"/>
        <w:pBdr>
          <w:left w:val="single" w:sz="18" w:space="8" w:color="1F4E79"/>
        </w:pBdr>
      </w:pPr>
      <w:r>
        <w:rPr>
          <w:b/>
          <w:color w:val="1F4E79"/>
          <w:sz w:val="21"/>
        </w:rPr>
        <w:t xml:space="preserve">Comment 3.7  </w:t>
      </w:r>
      <w:r>
        <w:rPr>
          <w:i/>
          <w:color w:val="444444"/>
          <w:sz w:val="21"/>
        </w:rPr>
        <w:t>You should define the operator used in (6).</w:t>
      </w:r>
    </w:p>
    <w:p>
      <w:pPr>
        <w:spacing w:before="120" w:after="40"/>
      </w:pPr>
      <w:r>
        <w:rPr>
          <w:b/>
          <w:sz w:val="21"/>
        </w:rPr>
        <w:t>Response</w:t>
      </w:r>
    </w:p>
    <w:p>
      <w:pPr>
        <w:ind w:left="0"/>
        <w:jc w:val="both"/>
      </w:pPr>
      <w:r>
        <w:rPr>
          <w:b w:val="0"/>
          <w:i w:val="0"/>
          <w:sz w:val="21"/>
        </w:rPr>
        <w:t>The operator is the Hadamard product, which multiplies two arrays of the same shape entry by entry. It is now defined in Section II A, in words and in symbols, before its first use anywhere in the paper.</w:t>
      </w:r>
    </w:p>
    <w:p>
      <w:pPr>
        <w:spacing w:before="120" w:after="40"/>
      </w:pPr>
      <w:r>
        <w:rPr>
          <w:b/>
          <w:sz w:val="21"/>
        </w:rPr>
        <w:t>Changes in the manuscript</w:t>
      </w:r>
    </w:p>
    <w:p>
      <w:pPr>
        <w:pStyle w:val="ListBullet"/>
        <w:spacing w:after="40"/>
      </w:pPr>
      <w:r>
        <w:rPr>
          <w:sz w:val="21"/>
        </w:rPr>
        <w:t>The Hadamard product is defined in Section II A.</w:t>
      </w:r>
    </w:p>
    <w:p>
      <w:pPr>
        <w:spacing w:before="200" w:after="40"/>
        <w:ind w:left="173"/>
        <w:shd w:val="clear" w:color="auto" w:fill="EEF3F8"/>
        <w:pBdr>
          <w:left w:val="single" w:sz="18" w:space="8" w:color="1F4E79"/>
        </w:pBdr>
      </w:pPr>
      <w:r>
        <w:rPr>
          <w:b/>
          <w:color w:val="1F4E79"/>
          <w:sz w:val="21"/>
        </w:rPr>
        <w:t xml:space="preserve">Comment 3.8  </w:t>
      </w:r>
      <w:r>
        <w:rPr>
          <w:i/>
          <w:color w:val="444444"/>
          <w:sz w:val="21"/>
        </w:rPr>
        <w:t>Is the operator dot the classical algebraic multiplication? If yes, you could drop it out.</w:t>
      </w:r>
    </w:p>
    <w:p>
      <w:pPr>
        <w:spacing w:before="120" w:after="40"/>
      </w:pPr>
      <w:r>
        <w:rPr>
          <w:b/>
          <w:sz w:val="21"/>
        </w:rPr>
        <w:t>Response</w:t>
      </w:r>
    </w:p>
    <w:p>
      <w:pPr>
        <w:ind w:left="0"/>
        <w:jc w:val="both"/>
      </w:pPr>
      <w:r>
        <w:rPr>
          <w:b w:val="0"/>
          <w:i w:val="0"/>
          <w:sz w:val="21"/>
        </w:rPr>
        <w:t>Yes, it was ordinary algebraic multiplication, and we have dropped it as the reviewer suggests. Products of scalars are now written by juxtaposition. The only product operator left in the paper is the Hadamard product, which is a different operation and is defined in Section II A. A search of the revised source finds no remaining multiplication dot.</w:t>
      </w:r>
    </w:p>
    <w:p>
      <w:pPr>
        <w:spacing w:before="120" w:after="40"/>
      </w:pPr>
      <w:r>
        <w:rPr>
          <w:b/>
          <w:sz w:val="21"/>
        </w:rPr>
        <w:t>Changes in the manuscript</w:t>
      </w:r>
    </w:p>
    <w:p>
      <w:pPr>
        <w:pStyle w:val="ListBullet"/>
        <w:spacing w:after="40"/>
      </w:pPr>
      <w:r>
        <w:rPr>
          <w:sz w:val="21"/>
        </w:rPr>
        <w:t>The multiplication dot was removed throughout. The revised source contains none.</w:t>
      </w:r>
    </w:p>
    <w:p>
      <w:pPr>
        <w:spacing w:before="200" w:after="40"/>
        <w:ind w:left="173"/>
        <w:shd w:val="clear" w:color="auto" w:fill="EEF3F8"/>
        <w:pBdr>
          <w:left w:val="single" w:sz="18" w:space="8" w:color="1F4E79"/>
        </w:pBdr>
      </w:pPr>
      <w:r>
        <w:rPr>
          <w:b/>
          <w:color w:val="1F4E79"/>
          <w:sz w:val="21"/>
        </w:rPr>
        <w:t xml:space="preserve">Comment 3.9  </w:t>
      </w:r>
      <w:r>
        <w:rPr>
          <w:i/>
          <w:color w:val="444444"/>
          <w:sz w:val="21"/>
        </w:rPr>
        <w:t>The six ground-truth-free predicates should be justified clinically and mathematically. The authors should provide sensitivity analyses showing how each predicate and its spatial failure map influence the final correction.</w:t>
      </w:r>
    </w:p>
    <w:p>
      <w:pPr>
        <w:spacing w:before="120" w:after="40"/>
      </w:pPr>
      <w:r>
        <w:rPr>
          <w:b/>
          <w:sz w:val="21"/>
        </w:rPr>
        <w:t>Response</w:t>
      </w:r>
    </w:p>
    <w:p>
      <w:pPr>
        <w:ind w:left="0"/>
        <w:jc w:val="both"/>
      </w:pPr>
      <w:r>
        <w:rPr>
          <w:b w:val="0"/>
          <w:i w:val="0"/>
          <w:sz w:val="21"/>
        </w:rPr>
        <w:t>Two things were asked, a justification of each property and a sensitivity study. Both are now in the paper. Justification. Table 2 gives, for each of the six properties, the clinical failure it names, its aggregate score and its failure map in closed form, where the map is large, and its threshold. The named subterms are expanded in Section S1 of the supplementary file, which is the one pointer the property definitions still make. The scores are all computed from the noisy input and the backbone output alone and each is written as a formula so it can be recomputed from the release. The mathematical reason for the form of each is given in the text of Section III B. Sensitivity. Section V F reports the leave one property out study, see the response to Reviewer 1 comment 2, which found that P1, P2 and P5 carry almost all of the effect on PKU37 and that P3, P4 and P6 are close to inert. The same subsection varies the constants of the rule layer that consume the properties, see the response to comment 3.17. The failure maps enter the allocation only through rule 3, so the sensitivity of the correction to each map is the sensitivity to the budget of that rule. For that budget we varied its weight over four settings and the contrast gain moved from plus 3.87 to plus 3.68 percent while every other measure moved by less than 0.2 points, so the correction is not sensitive to that budget.</w:t>
      </w:r>
    </w:p>
    <w:p>
      <w:pPr>
        <w:spacing w:before="120" w:after="40"/>
      </w:pPr>
      <w:r>
        <w:rPr>
          <w:b/>
          <w:sz w:val="21"/>
        </w:rPr>
        <w:t>Changes in the manuscript</w:t>
      </w:r>
    </w:p>
    <w:p>
      <w:pPr>
        <w:pStyle w:val="ListBullet"/>
        <w:spacing w:after="40"/>
      </w:pPr>
      <w:r>
        <w:rPr>
          <w:sz w:val="21"/>
        </w:rPr>
        <w:t>Section III B defines the six properties, and Table 2 is in 04c_bounded_safety.</w:t>
      </w:r>
    </w:p>
    <w:p>
      <w:pPr>
        <w:pStyle w:val="ListBullet"/>
        <w:spacing w:after="40"/>
      </w:pPr>
      <w:r>
        <w:rPr>
          <w:sz w:val="21"/>
        </w:rPr>
        <w:t>Section V F and Section V F.</w:t>
      </w:r>
    </w:p>
    <w:p>
      <w:pPr>
        <w:spacing w:before="200" w:after="40"/>
        <w:ind w:left="173"/>
        <w:shd w:val="clear" w:color="auto" w:fill="EEF3F8"/>
        <w:pBdr>
          <w:left w:val="single" w:sz="18" w:space="8" w:color="1F4E79"/>
        </w:pBdr>
      </w:pPr>
      <w:r>
        <w:rPr>
          <w:b/>
          <w:color w:val="1F4E79"/>
          <w:sz w:val="21"/>
        </w:rPr>
        <w:t xml:space="preserve">Comment 3.10  </w:t>
      </w:r>
      <w:r>
        <w:rPr>
          <w:i/>
          <w:color w:val="444444"/>
          <w:sz w:val="21"/>
        </w:rPr>
        <w:t>The training algorithm is not sufficiently clear. Please describe the training targets, loss functions, initialization, parameter selection, and whether any clean or paired images are used indirectly.</w:t>
      </w:r>
    </w:p>
    <w:p>
      <w:pPr>
        <w:spacing w:before="120" w:after="40"/>
      </w:pPr>
      <w:r>
        <w:rPr>
          <w:b/>
          <w:sz w:val="21"/>
        </w:rPr>
        <w:t>Response</w:t>
      </w:r>
    </w:p>
    <w:p>
      <w:pPr>
        <w:ind w:left="0"/>
        <w:jc w:val="both"/>
      </w:pPr>
      <w:r>
        <w:rPr>
          <w:b w:val="0"/>
          <w:i w:val="0"/>
          <w:sz w:val="21"/>
        </w:rPr>
        <w:t>The training account is new and is now the first part of Section V, which holds the training, the tests and the results together. Section V B answers the question about paired data directly, because we agree it was not clear. Training uses paired data. The clean reference enters the fidelity term and the clinical term and it supervises the additive edge branch. Nothing in the method is unsupervised. Testing uses no clean image at any point. The six clinical properties are computed from the noisy input and the backbone output alone, which is what ground truth free means in this paper. It refers to the inputs of the rule layer at test time and not to the training procedure. Section V A gives the six loss terms as Equations 14 to 19 with what each measures and why that form was chosen. Preparing this revision we read the objective of the submitted paper against the training code and found three mismatches. The clinical term is a weighted one sided penalty against a target taken from the backbone and not a sum of log ratios, it runs over nine quantities and not two, the edge term is weighted toward the clean edges and carries two further parts, and a sixth term of bounds and background protection was missing from the objective altogether. All three are corrected, with every weight and constant printed. Section V B gives the schedule, the two stages, the optimizer and the three learning rates, and Algorithm 1 of the supplementary file states the procedure step by step. The seed, the dead zone and the frozen normalization statistics are given in the text around it rather than as inputs of the algorithm itself. The same subsection states how the operating point was chosen, gives the initialization, and lists every constant with its origin, marked fixed, measured, selected or learned. We also record the exact training command in the release, because we found while preparing this revision that the command used for the submitted results had not been recorded. Every number in the revised paper comes from a checkpoint produced by that recorded script, selected on validation by a recorded rule, and scored on test without retraining.</w:t>
      </w:r>
    </w:p>
    <w:p>
      <w:pPr>
        <w:spacing w:before="120" w:after="40"/>
      </w:pPr>
      <w:r>
        <w:rPr>
          <w:b/>
          <w:sz w:val="21"/>
        </w:rPr>
        <w:t>Changes in the manuscript</w:t>
      </w:r>
    </w:p>
    <w:p>
      <w:pPr>
        <w:pStyle w:val="ListBullet"/>
        <w:spacing w:after="40"/>
      </w:pPr>
      <w:r>
        <w:rPr>
          <w:sz w:val="21"/>
        </w:rPr>
        <w:t>Section V is new Paired data, loss terms, schedule, operating point, and initialization with every constant and its origin.</w:t>
      </w:r>
    </w:p>
    <w:p>
      <w:pPr>
        <w:pStyle w:val="ListBullet"/>
        <w:spacing w:after="40"/>
      </w:pPr>
      <w:r>
        <w:rPr>
          <w:sz w:val="21"/>
        </w:rPr>
        <w:t>Algorithm 1 of the supplementary file, file supp/sections/S3_training.</w:t>
      </w:r>
    </w:p>
    <w:p>
      <w:pPr>
        <w:pStyle w:val="ListBullet"/>
        <w:spacing w:after="40"/>
      </w:pPr>
      <w:r>
        <w:rPr>
          <w:sz w:val="21"/>
        </w:rPr>
        <w:t>The training and selection scripts are in the release, scripts/train_all.sh and scripts/select_config.sh.</w:t>
      </w:r>
    </w:p>
    <w:p>
      <w:pPr>
        <w:spacing w:before="200" w:after="40"/>
        <w:ind w:left="173"/>
        <w:shd w:val="clear" w:color="auto" w:fill="EEF3F8"/>
        <w:pBdr>
          <w:left w:val="single" w:sz="18" w:space="8" w:color="1F4E79"/>
        </w:pBdr>
      </w:pPr>
      <w:r>
        <w:rPr>
          <w:b/>
          <w:color w:val="1F4E79"/>
          <w:sz w:val="21"/>
        </w:rPr>
        <w:t xml:space="preserve">Comment 3.11  </w:t>
      </w:r>
      <w:r>
        <w:rPr>
          <w:i/>
          <w:color w:val="444444"/>
          <w:sz w:val="21"/>
        </w:rPr>
        <w:t>Since post correction can introduce artificial boundaries or suppress subtle pathological features, stronger safety validation is essential. Experiments should examine lesions, fluid regions, thin layers, and other clinically relevant structures, preferably with expert assessment.</w:t>
      </w:r>
    </w:p>
    <w:p>
      <w:pPr>
        <w:spacing w:before="120" w:after="40"/>
      </w:pPr>
      <w:r>
        <w:rPr>
          <w:b/>
          <w:sz w:val="21"/>
        </w:rPr>
        <w:t>Response</w:t>
      </w:r>
    </w:p>
    <w:p>
      <w:pPr>
        <w:ind w:left="0"/>
        <w:jc w:val="both"/>
      </w:pPr>
      <w:r>
        <w:rPr>
          <w:b w:val="0"/>
          <w:i w:val="0"/>
          <w:sz w:val="21"/>
        </w:rPr>
        <w:t>We have added a quantitative safety study and we state plainly what it does not cover. Section V J measures invented edges against the clean reference, retention of weak structures, the change inside dark fluid like regions enclosed by tissue, and the largest change on any single image. The response to Reviewer 1 comment 3 lists the quantities. The invented edge rate rises from 0.45 to 0.48 percent of pixels, weak structure retention falls from 40.5 to 37.6 percent, dark regions occupy 1.6 percent of the area with a mean absolute change of 0.0022 inside them against 0.0067 over the whole image, the inner limiting membrane shift improves from 4.73 to 4.38 pixels, the retinal pigment epithelium shift is 9.93 against 10.03 pixels, and boundary sharpness is not worsened on 104 of the 173 images. The first two are costs and we report them as such. On lesions and expert assessment we have to be direct. PKU37, Duke17 and Duke2013 are denoising datasets and carry no lesion annotation, and no clinician read the outputs of this method. The dark region analysis is our proxy for fluid, and the weak structure analysis is our proxy for thin layers and subtle features, and we say in Section V J and in Section VI B that they are proxies. A reader study on annotated pathology is the correct next step and is outside the scope of this revision.</w:t>
      </w:r>
    </w:p>
    <w:p>
      <w:pPr>
        <w:spacing w:before="120" w:after="40"/>
      </w:pPr>
      <w:r>
        <w:rPr>
          <w:b/>
          <w:sz w:val="21"/>
        </w:rPr>
        <w:t>Changes in the manuscript</w:t>
      </w:r>
    </w:p>
    <w:p>
      <w:pPr>
        <w:pStyle w:val="ListBullet"/>
        <w:spacing w:after="40"/>
      </w:pPr>
      <w:r>
        <w:rPr>
          <w:sz w:val="21"/>
        </w:rPr>
        <w:t>Section V J is new.</w:t>
      </w:r>
    </w:p>
    <w:p>
      <w:pPr>
        <w:pStyle w:val="ListBullet"/>
        <w:spacing w:after="40"/>
      </w:pPr>
      <w:r>
        <w:rPr>
          <w:sz w:val="21"/>
        </w:rPr>
        <w:t>Section VI B, Limitations, states that no expert reading was performed and that the safety study uses proxies.</w:t>
      </w:r>
    </w:p>
    <w:p>
      <w:pPr>
        <w:spacing w:before="200" w:after="40"/>
        <w:ind w:left="173"/>
        <w:shd w:val="clear" w:color="auto" w:fill="EEF3F8"/>
        <w:pBdr>
          <w:left w:val="single" w:sz="18" w:space="8" w:color="1F4E79"/>
        </w:pBdr>
      </w:pPr>
      <w:r>
        <w:rPr>
          <w:b/>
          <w:color w:val="1F4E79"/>
          <w:sz w:val="21"/>
        </w:rPr>
        <w:t xml:space="preserve">Comment 3.12  </w:t>
      </w:r>
      <w:r>
        <w:rPr>
          <w:i/>
          <w:color w:val="444444"/>
          <w:sz w:val="21"/>
        </w:rPr>
        <w:t>A better link of the theory treated in the initial sections to the application given in Section VI is needed.</w:t>
      </w:r>
    </w:p>
    <w:p>
      <w:pPr>
        <w:spacing w:before="120" w:after="40"/>
      </w:pPr>
      <w:r>
        <w:rPr>
          <w:b/>
          <w:sz w:val="21"/>
        </w:rPr>
        <w:t>Response</w:t>
      </w:r>
    </w:p>
    <w:p>
      <w:pPr>
        <w:ind w:left="0"/>
        <w:jc w:val="both"/>
      </w:pPr>
      <w:r>
        <w:rPr>
          <w:b w:val="0"/>
          <w:i w:val="0"/>
          <w:sz w:val="21"/>
        </w:rPr>
        <w:t>Section V I is new and tests both theoretical claims numerically on the test set, and Section I B, Section III C and Section IV C each now point forward to it. Three things are checked. For the stability result, Theorem 1, we perturb the rule truth values by a controlled amount and measure the ratio of Definition 1, then compare it with the constant of Equation 12 computed from the trained weights. The constant is 0.5489 and the largest ratio measured over the 173 test images is 0.4679. The constant is exact for the allocation as a function of the rule truth values, so the gap is not slack in the proof. It means the perturbations a real image produces never reach the worst case the constant allows. For the contrast result, Theorem 2, we measure the tissue gain, the background leakage and the ratio of background standard deviations on every image and report on how many images the hypotheses hold. The margin condition holds on 139 of the 173 images and the standard deviation ratio condition on 94, a bare majority, with mean ratio 0.976. The two leakage terms have means of minus 0.0007 in tissue and minus 0.0017 in background against a mean absolute change of 0.0067 over the whole image. Their means sit near zero with a long negative tail, so we also report the per image sign, which is what the margin condition depends on. The tissue term is positive on 137 images and the background term negative on 107. Where a hypothesis fails the theorem makes no prediction, and the measured contrast change there is not systematically different in sign, which suggests the conditions are sufficient rather than necessary. We state the failures rather than exclude them. For the safety layer we report how often each of the three constraints fails and which one binds. Boundary sharpness is not worsened on 104 of the 173 images, reported as a count and not a mean because the per image worst case is what matters for trusting an individual scan. Of the three constraints, the energy constraint and the bounded change constraint hold on all 173 images and only the no sacrifice constraint ever fails, on 38 of them, so it is the binding one. Acceptance needs two of three and no image falls below two, so the layer returns the candidate in full on every test image. We say in the paper that it is therefore a guard whose bound was measured rather than a mechanism shown to intervene. The allocation map itself is also reported, its mean, spread, minimum and maximum, and the fraction of pixels at either clamp, which is zero by construction after the repair. The map spans 0.556 to 0.793 with mean 0.726 and standard deviation 0.050, and 0.00 percent of pixels sit at either end of the clamp, against every pixel of every image before the repair.</w:t>
      </w:r>
    </w:p>
    <w:p>
      <w:pPr>
        <w:spacing w:before="120" w:after="40"/>
      </w:pPr>
      <w:r>
        <w:rPr>
          <w:b/>
          <w:sz w:val="21"/>
        </w:rPr>
        <w:t>Changes in the manuscript</w:t>
      </w:r>
    </w:p>
    <w:p>
      <w:pPr>
        <w:pStyle w:val="ListBullet"/>
        <w:spacing w:after="40"/>
      </w:pPr>
      <w:r>
        <w:rPr>
          <w:sz w:val="21"/>
        </w:rPr>
        <w:t>Section V I is new.</w:t>
      </w:r>
    </w:p>
    <w:p>
      <w:pPr>
        <w:pStyle w:val="ListBullet"/>
        <w:spacing w:after="40"/>
      </w:pPr>
      <w:r>
        <w:rPr>
          <w:sz w:val="21"/>
        </w:rPr>
        <w:t>Section I B and Section IV C point forward to it.</w:t>
      </w:r>
    </w:p>
    <w:p>
      <w:pPr>
        <w:pStyle w:val="ListBullet"/>
        <w:spacing w:after="40"/>
      </w:pPr>
      <w:r>
        <w:rPr>
          <w:sz w:val="21"/>
        </w:rPr>
        <w:t>The macros are generated from outputs/revision/diagnostics_nafnet.json by revision/make_tables.py.</w:t>
      </w:r>
    </w:p>
    <w:p>
      <w:pPr>
        <w:spacing w:before="200" w:after="40"/>
        <w:ind w:left="173"/>
        <w:shd w:val="clear" w:color="auto" w:fill="EEF3F8"/>
        <w:pBdr>
          <w:left w:val="single" w:sz="18" w:space="8" w:color="1F4E79"/>
        </w:pBdr>
      </w:pPr>
      <w:r>
        <w:rPr>
          <w:b/>
          <w:color w:val="1F4E79"/>
          <w:sz w:val="21"/>
        </w:rPr>
        <w:t xml:space="preserve">Comment 3.13  </w:t>
      </w:r>
      <w:r>
        <w:rPr>
          <w:i/>
          <w:color w:val="444444"/>
          <w:sz w:val="21"/>
        </w:rPr>
        <w:t>In this regard, you should save the programs and datasets of Section VI in a webpage or repository, and indicate a link to that webpage, without any password, to be used only during the review process.</w:t>
      </w:r>
    </w:p>
    <w:p>
      <w:pPr>
        <w:spacing w:before="120" w:after="40"/>
      </w:pPr>
      <w:r>
        <w:rPr>
          <w:b/>
          <w:sz w:val="21"/>
        </w:rPr>
        <w:t>Response</w:t>
      </w:r>
    </w:p>
    <w:p>
      <w:pPr>
        <w:ind w:left="0"/>
        <w:jc w:val="both"/>
      </w:pPr>
      <w:r>
        <w:rPr>
          <w:b w:val="0"/>
          <w:i w:val="0"/>
          <w:sz w:val="21"/>
        </w:rPr>
        <w:t>We agree that the work should be auditable and we have built the release. It holds the model code, the four correctors the revised paper reports with the background gate each was selected under, the split lists, the result file of every scored run, one driver per table and per figure, and a manifest mapping every table, figure and quoted number to the script and the file that produced it. The result files are included, so a reader rebuilds every table without running anything. The frozen backbones and the correctors of the submitted version are a separate archive, since they are large and never change. We are not able to give a link during review, and we would rather state that plainly than imply otherwise. The repository is ours and naming it identifies us, which the review process does not allow at this stage. We will make the release public under a permanent citable identifier on acceptance. If the editor would like the reviewers to see it before then, we will supply the archive through the editorial office in whatever anonymized form the office prefers, and we would welcome that. Preparing this release is what led us to the defects described at the start of this letter. The release documents each one, what it affected and how it was fixed, and ships a script that checks each fix, because a reader of the code should be told rather than left to discover them.</w:t>
      </w:r>
    </w:p>
    <w:p>
      <w:pPr>
        <w:spacing w:before="120" w:after="40"/>
      </w:pPr>
      <w:r>
        <w:rPr>
          <w:b/>
          <w:sz w:val="21"/>
        </w:rPr>
        <w:t>Changes in the manuscript</w:t>
      </w:r>
    </w:p>
    <w:p>
      <w:pPr>
        <w:pStyle w:val="ListBullet"/>
        <w:spacing w:after="40"/>
      </w:pPr>
      <w:r>
        <w:rPr>
          <w:sz w:val="21"/>
        </w:rPr>
        <w:t>The release is complete. No link appears in the manuscript during review, and the archive goes public under a permanent identifier on acceptance.</w:t>
      </w:r>
    </w:p>
    <w:p>
      <w:pPr>
        <w:pStyle w:val="ListBullet"/>
        <w:spacing w:after="40"/>
      </w:pPr>
      <w:r>
        <w:rPr>
          <w:sz w:val="21"/>
        </w:rPr>
        <w:t>It contains the code, the four reported correctors, the split lists, every result file and one driver per table and per figure.</w:t>
      </w:r>
    </w:p>
    <w:p>
      <w:pPr>
        <w:pStyle w:val="ListBullet"/>
        <w:spacing w:after="40"/>
      </w:pPr>
      <w:r>
        <w:rPr>
          <w:sz w:val="21"/>
        </w:rPr>
        <w:t>The README documents the defects found during the revision and how to verify each fix.</w:t>
      </w:r>
    </w:p>
    <w:p>
      <w:pPr>
        <w:pStyle w:val="ListBullet"/>
        <w:spacing w:after="40"/>
      </w:pPr>
      <w:r>
        <w:rPr>
          <w:sz w:val="21"/>
        </w:rPr>
        <w:t>We offer the archive to the reviewers through the editorial office at the editor's discretion.</w:t>
      </w:r>
    </w:p>
    <w:p>
      <w:pPr>
        <w:spacing w:before="200" w:after="40"/>
        <w:ind w:left="173"/>
        <w:shd w:val="clear" w:color="auto" w:fill="EEF3F8"/>
        <w:pBdr>
          <w:left w:val="single" w:sz="18" w:space="8" w:color="1F4E79"/>
        </w:pBdr>
      </w:pPr>
      <w:r>
        <w:rPr>
          <w:b/>
          <w:color w:val="1F4E79"/>
          <w:sz w:val="21"/>
        </w:rPr>
        <w:t xml:space="preserve">Comment 3.14  </w:t>
      </w:r>
      <w:r>
        <w:rPr>
          <w:i/>
          <w:color w:val="444444"/>
          <w:sz w:val="21"/>
        </w:rPr>
        <w:t>Solving the comment 13 will enable the improvement of the validation.</w:t>
      </w:r>
    </w:p>
    <w:p>
      <w:pPr>
        <w:spacing w:before="120" w:after="40"/>
      </w:pPr>
      <w:r>
        <w:rPr>
          <w:b/>
          <w:sz w:val="21"/>
        </w:rPr>
        <w:t>Response</w:t>
      </w:r>
    </w:p>
    <w:p>
      <w:pPr>
        <w:ind w:left="0"/>
        <w:jc w:val="both"/>
      </w:pPr>
      <w:r>
        <w:rPr>
          <w:b w:val="0"/>
          <w:i w:val="0"/>
          <w:sz w:val="21"/>
        </w:rPr>
        <w:t>We agree, and this turned out to be the most useful comment in the review for the quality of the work. Preparing the release meant instrumenting the code, and that exposed the constant allocation described at the start of this letter and five further defects in how the models were trained and selected, which are listed there as well. The validation is stronger as a result. The rule layer now acts, the stability constant is exact rather than loose, every setting is trained at three seeds with the spread reported, the selected model is the reported model, and every table is regenerated from a recorded script with its result files.</w:t>
      </w:r>
    </w:p>
    <w:p>
      <w:pPr>
        <w:spacing w:before="120" w:after="40"/>
      </w:pPr>
      <w:r>
        <w:rPr>
          <w:b/>
          <w:sz w:val="21"/>
        </w:rPr>
        <w:t>Changes in the manuscript</w:t>
      </w:r>
    </w:p>
    <w:p>
      <w:pPr>
        <w:pStyle w:val="ListBullet"/>
        <w:spacing w:after="40"/>
      </w:pPr>
      <w:r>
        <w:rPr>
          <w:sz w:val="21"/>
        </w:rPr>
        <w:t>See the response to comment 3.13 and the opening of this letter.</w:t>
      </w:r>
    </w:p>
    <w:p>
      <w:pPr>
        <w:spacing w:before="200" w:after="40"/>
        <w:ind w:left="173"/>
        <w:shd w:val="clear" w:color="auto" w:fill="EEF3F8"/>
        <w:pBdr>
          <w:left w:val="single" w:sz="18" w:space="8" w:color="1F4E79"/>
        </w:pBdr>
      </w:pPr>
      <w:r>
        <w:rPr>
          <w:b/>
          <w:color w:val="1F4E79"/>
          <w:sz w:val="21"/>
        </w:rPr>
        <w:t xml:space="preserve">Comment 3.15  </w:t>
      </w:r>
      <w:r>
        <w:rPr>
          <w:i/>
          <w:color w:val="444444"/>
          <w:sz w:val="21"/>
        </w:rPr>
        <w:t>You should not use experiment and experimental in title of Section VI, the other section titles and the rest of the paper. You are not doing experiments, you are actually doing tests on three retinal OCT datasets. You could use test or results instead.</w:t>
      </w:r>
    </w:p>
    <w:p>
      <w:pPr>
        <w:spacing w:before="120" w:after="40"/>
      </w:pPr>
      <w:r>
        <w:rPr>
          <w:b/>
          <w:sz w:val="21"/>
        </w:rPr>
        <w:t>Response</w:t>
      </w:r>
    </w:p>
    <w:p>
      <w:pPr>
        <w:ind w:left="0"/>
        <w:jc w:val="both"/>
      </w:pPr>
      <w:r>
        <w:rPr>
          <w:b w:val="0"/>
          <w:i w:val="0"/>
          <w:sz w:val="21"/>
        </w:rPr>
        <w:t>Done throughout. The results section is now titled Training, Tests and Results and is Section V of the revised paper. Every occurrence of the words experiment and experimental has been removed from the titles and the body and replaced by test, result or study. This is checked by a script included in the release, which reports zero occurrences in the revised source.</w:t>
      </w:r>
    </w:p>
    <w:p>
      <w:pPr>
        <w:spacing w:before="120" w:after="40"/>
      </w:pPr>
      <w:r>
        <w:rPr>
          <w:b/>
          <w:sz w:val="21"/>
        </w:rPr>
        <w:t>Changes in the manuscript</w:t>
      </w:r>
    </w:p>
    <w:p>
      <w:pPr>
        <w:pStyle w:val="ListBullet"/>
        <w:spacing w:after="40"/>
      </w:pPr>
      <w:r>
        <w:rPr>
          <w:sz w:val="21"/>
        </w:rPr>
        <w:t>All uses of the words experiment and experimental were removed and the section was renamed.</w:t>
      </w:r>
    </w:p>
    <w:p>
      <w:pPr>
        <w:pStyle w:val="ListBullet"/>
        <w:spacing w:after="40"/>
      </w:pPr>
      <w:r>
        <w:rPr>
          <w:sz w:val="21"/>
        </w:rPr>
        <w:t>revision/style_check.py in the release checks this and reports zero.</w:t>
      </w:r>
    </w:p>
    <w:p>
      <w:pPr>
        <w:spacing w:before="200" w:after="40"/>
        <w:ind w:left="173"/>
        <w:shd w:val="clear" w:color="auto" w:fill="EEF3F8"/>
        <w:pBdr>
          <w:left w:val="single" w:sz="18" w:space="8" w:color="1F4E79"/>
        </w:pBdr>
      </w:pPr>
      <w:r>
        <w:rPr>
          <w:b/>
          <w:color w:val="1F4E79"/>
          <w:sz w:val="21"/>
        </w:rPr>
        <w:t xml:space="preserve">Comment 3.16  </w:t>
      </w:r>
      <w:r>
        <w:rPr>
          <w:i/>
          <w:color w:val="444444"/>
          <w:sz w:val="21"/>
        </w:rPr>
        <w:t>A fair comparison means to work with competing models with a similar complexity and designed using the same design approach.</w:t>
      </w:r>
    </w:p>
    <w:p>
      <w:pPr>
        <w:spacing w:before="120" w:after="40"/>
      </w:pPr>
      <w:r>
        <w:rPr>
          <w:b/>
          <w:sz w:val="21"/>
        </w:rPr>
        <w:t>Response</w:t>
      </w:r>
    </w:p>
    <w:p>
      <w:pPr>
        <w:ind w:left="0"/>
        <w:jc w:val="both"/>
      </w:pPr>
      <w:r>
        <w:rPr>
          <w:b w:val="0"/>
          <w:i w:val="0"/>
          <w:sz w:val="21"/>
        </w:rPr>
        <w:t>We agree and we have added the comparison. Our object is a correction layer attached to a frozen denoiser, so a fair competitor has to act on the same input rather than replace the denoiser. We compare in two directions. Across backbones of matched size. The four backbones are all scaled to about seven million parameters and trained on the same split with the same schedule, so the wrapper is added to four comparable denoisers rather than to one convenient one. Against post correction of matched complexity, which is what we read the comment to ask. Section V G adds three competitors that all read the same frozen backbone output. The first is a corrector of the same size trained with the same objective, the same warm start and the same ten epochs, but with the rule layer replaced by a uniform allocation for the whole of training. It was trained before the gate search that produced the selected models, so it uses the percentile gate and the earlier dead zone rather than the tissue bounded gate NAFNet was finally selected with, and we say so rather than claiming a match we cannot verify. We narrowed the text to match the code rather than leaving the mismatch. Section V G now says that this competitor is the same architecture with the same parameter budget and the same objective, trained for the same ten epochs, with the rule layer replaced by a uniform allocation for the whole of training rather than only at test time. It was fitted before the gate search, so it carries the percentile gate and not the tissue bounded gate NAFNet was selected with, which makes it matched in architecture and not in configuration. The paper says so, and the row is labeled uniform allocation, trained. The second and third are classical operators, unsharp masking and contrast limited adaptive histogram equalization, with their strength tuned on the forty image validation subset under the same rule used for our own constants. The lower block of Table 5 reports all of them. Training with a uniform allocation reaches plus 4.11 percent contrast and plus 11.58 percent tissue contrast index against plus 3.71 and plus 2.42 for the full method, and it pays 0.42 dB of fidelity against 0.17 dB. It is worse on the other four, at 0.71 against 1.21 percent on edge preservation, 3.83 against 4.16 on boundary sharpness, 16.2 against 23.3 on the speckle measure and 5.8 against 10.7 on the signal to noise ratio, so the two are not ordered. The two classical operators reach the largest tissue contrast index in the table by a wide margin, plus 39.5 and plus 53.0 against plus 2.4, while on contrast only adaptive equalization exceeds the wrapper, at plus 6.5 against plus 3.7, and unsharp masking falls well below it at plus 0.6. Both fail on everything else, lowering edge preservation by about 3.5 percent, raising boundary sharpness by about 25 percent by sharpening noise along with structure, and lowering the speckle measure by about 36 percent, with adaptive equalization also costing 4.4 dB. We state in the paper that the comparison does not show the rule layer produces the largest clinical numbers, only that the alternatives which produce larger numbers change the image several times as much and without a per pixel account of why.</w:t>
      </w:r>
    </w:p>
    <w:p>
      <w:pPr>
        <w:spacing w:before="120" w:after="40"/>
      </w:pPr>
      <w:r>
        <w:rPr>
          <w:b/>
          <w:sz w:val="21"/>
        </w:rPr>
        <w:t>Changes in the manuscript</w:t>
      </w:r>
    </w:p>
    <w:p>
      <w:pPr>
        <w:pStyle w:val="ListBullet"/>
        <w:spacing w:after="40"/>
      </w:pPr>
      <w:r>
        <w:rPr>
          <w:sz w:val="21"/>
        </w:rPr>
        <w:t>Section V G is new.</w:t>
      </w:r>
    </w:p>
    <w:p>
      <w:pPr>
        <w:pStyle w:val="ListBullet"/>
        <w:spacing w:after="40"/>
      </w:pPr>
      <w:r>
        <w:rPr>
          <w:sz w:val="21"/>
        </w:rPr>
        <w:t>The lower blocks of Table 3 report the comparison.</w:t>
      </w:r>
    </w:p>
    <w:p>
      <w:pPr>
        <w:pStyle w:val="ListBullet"/>
        <w:spacing w:after="40"/>
      </w:pPr>
      <w:r>
        <w:rPr>
          <w:sz w:val="21"/>
        </w:rPr>
        <w:t>The tuning of the classical operators is in revision/classical_baselines.py in the release.</w:t>
      </w:r>
    </w:p>
    <w:p>
      <w:pPr>
        <w:spacing w:before="200" w:after="40"/>
        <w:ind w:left="173"/>
        <w:shd w:val="clear" w:color="auto" w:fill="EEF3F8"/>
        <w:pBdr>
          <w:left w:val="single" w:sz="18" w:space="8" w:color="1F4E79"/>
        </w:pBdr>
      </w:pPr>
      <w:r>
        <w:rPr>
          <w:b/>
          <w:color w:val="1F4E79"/>
          <w:sz w:val="21"/>
        </w:rPr>
        <w:t xml:space="preserve">Comment 3.17  </w:t>
      </w:r>
      <w:r>
        <w:rPr>
          <w:i/>
          <w:color w:val="444444"/>
          <w:sz w:val="21"/>
        </w:rPr>
        <w:t>How did you compute the parameters of the fuzzy logic part of the paper? Certain heuristics might be therein.</w:t>
      </w:r>
    </w:p>
    <w:p>
      <w:pPr>
        <w:spacing w:before="120" w:after="40"/>
      </w:pPr>
      <w:r>
        <w:rPr>
          <w:b/>
          <w:sz w:val="21"/>
        </w:rPr>
        <w:t>Response</w:t>
      </w:r>
    </w:p>
    <w:p>
      <w:pPr>
        <w:ind w:left="0"/>
        <w:jc w:val="both"/>
      </w:pPr>
      <w:r>
        <w:rPr>
          <w:b w:val="0"/>
          <w:i w:val="0"/>
          <w:sz w:val="21"/>
        </w:rPr>
        <w:t>This question and Reviewer 1 comment 4 are the reason we found the defect described at the start of this letter, so we answer plainly. In the submitted version the constants of the fuzzy layer were the initial values of learnable parameters that never moved, because the layer was saturated and received no gradient. The honest answer to how they were computed is that they were not. In the revised version every constant is listed with its origin in Section V B of the main paper. The budgets are fixed by the identity stated in Section III C rather than chosen, and their relative sizes preserve the ordering of the submitted version so the rule that dominated still dominates. The rule weights and the base level are learned. Section V B states that exactly one quantity of the objective was tuned, the fidelity dead zone, together with the choice of background rule, and that both were selected on the validation split at three seeds by a recorded rule. We also found that ten weight flags in the training script are parsed and never used, so the four settings of the earlier search differed in the dead zone alone. Section V B now names all ten and the weights that do reach the loss are printed in Equations 14 to 19. The release documents that. Section V F reports the sensitivity study. No variation of any constant turns any of the six clinical measures negative. Over the fourteen variations the contrast gain lies between 3.5 and 4.5 percent and the fidelity cost between 0.16 and 0.23 dB, and replacing the Lukasiewicz conjunction by the product or by the minimum moves the contrast gain from 3.7 to 3.5 percent.</w:t>
      </w:r>
    </w:p>
    <w:p>
      <w:pPr>
        <w:spacing w:before="120" w:after="40"/>
      </w:pPr>
      <w:r>
        <w:rPr>
          <w:b/>
          <w:sz w:val="21"/>
        </w:rPr>
        <w:t>Changes in the manuscript</w:t>
      </w:r>
    </w:p>
    <w:p>
      <w:pPr>
        <w:pStyle w:val="ListBullet"/>
        <w:spacing w:after="40"/>
      </w:pPr>
      <w:r>
        <w:rPr>
          <w:sz w:val="21"/>
        </w:rPr>
        <w:t>Section III C, and Section V B.</w:t>
      </w:r>
    </w:p>
    <w:p>
      <w:pPr>
        <w:pStyle w:val="ListBullet"/>
        <w:spacing w:after="40"/>
      </w:pPr>
      <w:r>
        <w:rPr>
          <w:sz w:val="21"/>
        </w:rPr>
        <w:t>Section V B.</w:t>
      </w:r>
    </w:p>
    <w:p>
      <w:pPr>
        <w:pStyle w:val="ListBullet"/>
        <w:spacing w:after="40"/>
      </w:pPr>
      <w:r>
        <w:rPr>
          <w:sz w:val="21"/>
        </w:rPr>
        <w:t>Section V F.</w:t>
      </w:r>
    </w:p>
    <w:p>
      <w:pPr>
        <w:pStyle w:val="ListBullet"/>
        <w:spacing w:after="40"/>
      </w:pPr>
      <w:r>
        <w:rPr>
          <w:sz w:val="21"/>
        </w:rPr>
        <w:t>The release README documents the inert flags and the selection defect.</w:t>
      </w:r>
    </w:p>
    <w:p>
      <w:pPr>
        <w:spacing w:before="200" w:after="40"/>
        <w:ind w:left="173"/>
        <w:shd w:val="clear" w:color="auto" w:fill="EEF3F8"/>
        <w:pBdr>
          <w:left w:val="single" w:sz="18" w:space="8" w:color="1F4E79"/>
        </w:pBdr>
      </w:pPr>
      <w:r>
        <w:rPr>
          <w:b/>
          <w:color w:val="1F4E79"/>
          <w:sz w:val="21"/>
        </w:rPr>
        <w:t xml:space="preserve">Comment 3.18  </w:t>
      </w:r>
      <w:r>
        <w:rPr>
          <w:i/>
          <w:color w:val="444444"/>
          <w:sz w:val="21"/>
        </w:rPr>
        <w:t>The transferability claim requires further evidence. Adapting a backbone-specific confidence head constitutes additional training, therefore the required data, computational cost, and performance variability for each backbone should be reported.</w:t>
      </w:r>
    </w:p>
    <w:p>
      <w:pPr>
        <w:spacing w:before="120" w:after="40"/>
      </w:pPr>
      <w:r>
        <w:rPr>
          <w:b/>
          <w:sz w:val="21"/>
        </w:rPr>
        <w:t>Response</w:t>
      </w:r>
    </w:p>
    <w:p>
      <w:pPr>
        <w:ind w:left="0"/>
        <w:jc w:val="both"/>
      </w:pPr>
      <w:r>
        <w:rPr>
          <w:b w:val="0"/>
          <w:i w:val="0"/>
          <w:sz w:val="21"/>
        </w:rPr>
        <w:t>The reviewer is right that adapting the confidence head is training and that its cost should be stated. Section V K is new and reports, for each backbone, the size of the head, the data used to fit it, the number of epochs, the wall clock time, and the spread across the three seeds. The wrapper adds 168630 parameters shared across backbones plus a head whose size follows the width of the feature tensor it reads, 4659 for KBNet, 7263 for NAFNet, 85908 for SwinIR and 234273 for DnCNN. The trainable totals are therefore 173289, 175893, 254538 and 402903, so KBNet is below NAFNet and DnCNN is above SwinIR rather than both lying between them, which an earlier draft of this answer had wrong. The frozen backbones they are measured against are 7583521, 7009881, 6939289 and 7029013 parameters, giving 2.3, 2.5, 3.7 and 5.8 percent. Every backbone is fitted on the same 1388 PKU37 pairs for the same ten epochs from the same warm start, so only the wall clock and the seed spread vary. Fitting one seed takes 2.0 minutes for NAFNet, 2.5 for KBNet, 3.9 for DnCNN and 8.3 for SwinIR on one RTX 5070 Ti, an ordering set by the cost of one backbone forward pass. The fidelity spread across the three seeds is 0.02 dB for NAFNet, 0.06 for SwinIR, 0.08 for KBNet and 0.21 for DnCNN. We also separate two claims that the submitted paper mixed. What transfers with no training at all is the whole wrapper applied to another scanner, Table 4. What needs training is the move to a new backbone, because the head reads that backbone's features, and that cost is what Section V K reports. The tissue contrast index of DnCNN has mean plus 0.99 percent with a seed to seed standard deviation of 1.62, and the edge preservation of KBNet has mean 0.00 percent with a standard deviation of 0.07, both sample standard deviations over the three seeds as used everywhere in the paper. Both are visible in Table 3, where bold marks a mean that exceeds its spread and neither cell is bold, and Section V D names them in the text.</w:t>
      </w:r>
    </w:p>
    <w:p>
      <w:pPr>
        <w:spacing w:before="120" w:after="40"/>
      </w:pPr>
      <w:r>
        <w:rPr>
          <w:b/>
          <w:sz w:val="21"/>
        </w:rPr>
        <w:t>Changes in the manuscript</w:t>
      </w:r>
    </w:p>
    <w:p>
      <w:pPr>
        <w:pStyle w:val="ListBullet"/>
        <w:spacing w:after="40"/>
      </w:pPr>
      <w:r>
        <w:rPr>
          <w:sz w:val="21"/>
        </w:rPr>
        <w:t>Section V K is new.</w:t>
      </w:r>
    </w:p>
    <w:p>
      <w:pPr>
        <w:pStyle w:val="ListBullet"/>
        <w:spacing w:after="40"/>
      </w:pPr>
      <w:r>
        <w:rPr>
          <w:sz w:val="21"/>
        </w:rPr>
        <w:t>Section III names the feature tensor and its channel count for each backbone.</w:t>
      </w:r>
    </w:p>
    <w:p>
      <w:pPr>
        <w:spacing w:before="200" w:after="40"/>
        <w:ind w:left="173"/>
        <w:shd w:val="clear" w:color="auto" w:fill="EEF3F8"/>
        <w:pBdr>
          <w:left w:val="single" w:sz="18" w:space="8" w:color="1F4E79"/>
        </w:pBdr>
      </w:pPr>
      <w:r>
        <w:rPr>
          <w:b/>
          <w:color w:val="1F4E79"/>
          <w:sz w:val="21"/>
        </w:rPr>
        <w:t xml:space="preserve">Comment 3.19  </w:t>
      </w:r>
      <w:r>
        <w:rPr>
          <w:i/>
          <w:color w:val="444444"/>
          <w:sz w:val="21"/>
        </w:rPr>
        <w:t>The authors could verify whether the assumed Lipschitz constants, margins, and background-leakage bounds hold for the experimental data.</w:t>
      </w:r>
    </w:p>
    <w:p>
      <w:pPr>
        <w:spacing w:before="120" w:after="40"/>
      </w:pPr>
      <w:r>
        <w:rPr>
          <w:b/>
          <w:sz w:val="21"/>
        </w:rPr>
        <w:t>Response</w:t>
      </w:r>
    </w:p>
    <w:p>
      <w:pPr>
        <w:ind w:left="0"/>
        <w:jc w:val="both"/>
      </w:pPr>
      <w:r>
        <w:rPr>
          <w:b w:val="0"/>
          <w:i w:val="0"/>
          <w:sz w:val="21"/>
        </w:rPr>
        <w:t>Yes, and this is now Section V I, see the response to comment 3.12. The Lipschitz constant is computed from the trained weights by a method of the release and the realized ratio is measured on real images. The constant is 0.5489 against a largest measured ratio of 0.4679 over 173 images. The margins of Theorem 2, the tissue gain and the background leakage, and the background standard deviation ratio are measured on every test image. The tissue term has mean minus 0.0007 and is positive on 137 of the 173 images, the background term has mean minus 0.0017 and is negative on 107, the mean ratio of background standard deviations is 0.976, the margin condition holds on 139 images and the standard deviation ratio condition on 94. We also say what the check does not show. The bound of Theorem 1 is exact for the allocation as a function of the rule truth values. It is not a bound on the whole pipeline, and we do not claim one.</w:t>
      </w:r>
    </w:p>
    <w:p>
      <w:pPr>
        <w:spacing w:before="120" w:after="40"/>
      </w:pPr>
      <w:r>
        <w:rPr>
          <w:b/>
          <w:sz w:val="21"/>
        </w:rPr>
        <w:t>Changes in the manuscript</w:t>
      </w:r>
    </w:p>
    <w:p>
      <w:pPr>
        <w:pStyle w:val="ListBullet"/>
        <w:spacing w:after="40"/>
      </w:pPr>
      <w:r>
        <w:rPr>
          <w:sz w:val="21"/>
        </w:rPr>
        <w:t>Section V I.</w:t>
      </w:r>
    </w:p>
    <w:p>
      <w:pPr>
        <w:pStyle w:val="ListBullet"/>
        <w:spacing w:after="40"/>
      </w:pPr>
      <w:r>
        <w:rPr>
          <w:sz w:val="21"/>
        </w:rPr>
        <w:t>The closing paragraph of Section IV C.</w:t>
      </w:r>
    </w:p>
    <w:p>
      <w:r>
        <w:br w:type="page"/>
      </w:r>
    </w:p>
    <w:p>
      <w:pPr>
        <w:spacing w:before="0" w:after="80"/>
      </w:pPr>
      <w:r>
        <w:rPr>
          <w:b/>
          <w:color w:val="1F4E79"/>
          <w:sz w:val="28"/>
        </w:rPr>
        <w:t>Closing</w:t>
      </w:r>
    </w:p>
    <w:p>
      <w:pPr>
        <w:ind w:left="0"/>
        <w:jc w:val="both"/>
      </w:pPr>
      <w:r>
        <w:rPr>
          <w:b w:val="0"/>
          <w:i w:val="0"/>
          <w:sz w:val="21"/>
        </w:rPr>
        <w:t>We thank the reviewers again. The review process improved this work in a way that a lighter reading would not have, because the questions about the fuzzy constants and about the release of the code are what led us to find and repair a defect at the center of the method. We hope the revised manuscript meets the standard of the journal.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