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four further defects in how the submitted models were trained and selected, and we list them here rather than in the individual answers. First, three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All four are fixed. Every source of randomness is now seeded, every setting is trained at three seeds and selected on its worst seed, the normalisation statistics are held fixed, the cache runs at full resolution,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Two further 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primary result.</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four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primary result is now transfer with no adaptation of any kind, and the adapted protocol is reported separately so the two are not confused.</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Released the code, the trained weights and the scripts that regenerate every number, with no password.</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F compares the map against the absolute error of the backbone output with respect to the clean reference on every test image and reports three quantities. The rank correlation between the map and the error, the sparsification error, and the expected calibration error after a single affine fit.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F states that the map predicts where a correction helps rather than how wrong the backbone is. The map is nevertheless load bearing. Replacing it by a constant lowers the contrast gain from plus 3.71 to plus 2.51 percent and worsens five of the six clinical measures, which is why we kept it and renamed it rather than removing it. The cooperation term in Section VIII A is the only place the map is trained toward a meaning. It rewards agreement between the map and the estimated correction potential, so the map is pushed to be high where the correction has room to act. Whether that coincides with backbone error is exactly what Section IX F measures.</w:t>
      </w:r>
    </w:p>
    <w:p>
      <w:pPr>
        <w:spacing w:before="120" w:after="40"/>
      </w:pPr>
      <w:r>
        <w:rPr>
          <w:b/>
          <w:sz w:val="21"/>
        </w:rPr>
        <w:t>Changes in the manuscript</w:t>
      </w:r>
    </w:p>
    <w:p>
      <w:pPr>
        <w:pStyle w:val="ListBullet"/>
        <w:spacing w:after="40"/>
      </w:pPr>
      <w:r>
        <w:rPr>
          <w:sz w:val="21"/>
        </w:rPr>
        <w:t>Section IX F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S3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S3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H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behaviour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H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Two structural facts also bound the risk. The relative change from the backbone output is capped by the third safety constraint, and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Fig. S3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C says which quantities were selected on validation. Only one is, the fidelity dead zone, together with the choice of background rule. Whether any of it does hidden work. Section IX D varies the base level, each rule weight, and the conjunction, and re evaluates. Across the fourteen variations no measure turns negative. The largest change in any clinical measure is 0.77 points, on contrast, produced by moving the base level to its lowest setting, and every rule weight and every budget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C states what was selected and how, file 06_training.</w:t>
      </w:r>
    </w:p>
    <w:p>
      <w:pPr>
        <w:pStyle w:val="ListBullet"/>
        <w:spacing w:after="40"/>
      </w:pPr>
      <w:r>
        <w:rPr>
          <w:sz w:val="21"/>
        </w:rPr>
        <w:t>Section IX D is the sensitivity study, file 07_results, and Fig. S3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The manuscript has been rewritten rather than proof read. Every section was rebuilt from the top down, which removed the errors along with the text that contained them. We also adopted three mechanical writing rules and enforced them with a script that runs over the source, namely no em dash, no colon and no semicolon in body prose. The script reports zero violations in the revised source. The same pass removed every use of the words experiment and experimental, which is Reviewer 3 comment 15.</w:t>
      </w:r>
    </w:p>
    <w:p>
      <w:pPr>
        <w:spacing w:before="120" w:after="40"/>
      </w:pPr>
      <w:r>
        <w:rPr>
          <w:b/>
          <w:sz w:val="21"/>
        </w:rPr>
        <w:t>Changes in the manuscript</w:t>
      </w:r>
    </w:p>
    <w:p>
      <w:pPr>
        <w:pStyle w:val="ListBullet"/>
        <w:spacing w:after="40"/>
      </w:pPr>
      <w:r>
        <w:rPr>
          <w:sz w:val="21"/>
        </w:rPr>
        <w:t>The whole manuscript was rewritten.</w:t>
      </w:r>
    </w:p>
    <w:p>
      <w:pPr>
        <w:pStyle w:val="ListBullet"/>
        <w:spacing w:after="40"/>
      </w:pPr>
      <w:r>
        <w:rPr>
          <w:sz w:val="21"/>
        </w:rPr>
        <w:t>revision/style_check.py in the release enforces the rules.</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code is the authority.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The no adaptation blocks of Table 3 report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C names the gate selected for each backbone. The adapted protocol is reported in the lower block of the same table, clearly labelled, so the gap between the two is visible. Table 3 now carries both. The no adaptation blocks give the mean over three seeds for all four backbones on Duke17 and Duke2013, with the seed spread shown in the fidelity column and encoded as bold in the clinical columns, and Table S6 of the supplementary file restores the spread of every clinical cell, and 40 of those 48 backbone by measure by set pairs are positive, with contrast rising in every one of the eight rows. The adapted block gives NAFNet on both sets from the leave one subject out rerun. The table generator reads the leave one subject out result files directly and refuses to emit the block if their recorded resume checkpoint is not the selected NAFNet model, so the two protocols in one table can never describe two different models.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labelled blocks for both protocols, without adaptation and with adaptation.</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C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C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G then measures the realised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G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A.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binding rather than advisory.</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D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D.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D,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four parts. Section VIII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A gives the five loss terms as Equations 14 to 18 with what each measures and why that form was chosen. Section VIII B gives the schedule, the two stages, the optimiser and the three learning rates, and Algorithm 1 of the supplementary file states the procedure step by step, including the seed, the dead zone and the frozen normalisation statistics of the backbone as explicit inputs. Section VIII C states how the operating point was chosen. Section VIII D gives initialisation and lists every constant with its origin in the main paper,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and initialisation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H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H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G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so the bound holds on every image and is not tight, which is the expected direction for a proof that is conservative rather than wrong.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w:t>
      </w:r>
    </w:p>
    <w:p>
      <w:pPr>
        <w:ind w:left="0"/>
        <w:jc w:val="both"/>
      </w:pPr>
      <w:r>
        <w:rPr>
          <w:b w:val="0"/>
          <w:i w:val="0"/>
          <w:sz w:val="21"/>
        </w:rPr>
        <w:t>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anonymised form the office prefers, and we would welcome that.</w:t>
      </w:r>
    </w:p>
    <w:p>
      <w:pPr>
        <w:ind w:left="0"/>
        <w:jc w:val="both"/>
      </w:pPr>
      <w:r>
        <w:rPr>
          <w:b w:val="0"/>
          <w:i w:val="0"/>
          <w:sz w:val="21"/>
        </w:rPr>
        <w:t>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and recorded script.</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E now says that this competitor is the same architecture with the same parameter budget and the same objective, trained for the same ten epochs, with the rule layer replaced by a uniform allocation for the whole of training rather than only at test time, and that it keeps the properties and the safety layer so that only one thing differs. The row is labelled uniform allocation, trained, and the paper says explicitly that it isolates the rule layer. The second and third are classical operators, unsharp masking and contrast limited adaptive histogram equalisation, with their strength tuned on the forty image validation subset under the same rule used for our own constants. The lower blocks of Table 3 report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equalisation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E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VIII D of the main paper. The budgets are fixed by the identity stated in Section V B rather than chosen, and their relative sizes preserve the ordering of the submitted version so the rule that dominated still dominates. The rule weights and the base level are learned. Section VIII C states that exactly one quantity of the objective was tuned, the fidelity dead zone, together with the choice of background rule, and that both were selected on the validation split at three seeds by a recorded rule. We also found that three further weight flags in the training script were parsed and never used, so the four settings of the earlier search differed in the dead zone alone. The release documents that. Section IX D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Section VIII D, file 06_training.</w:t>
      </w:r>
    </w:p>
    <w:p>
      <w:pPr>
        <w:pStyle w:val="ListBullet"/>
        <w:spacing w:after="40"/>
      </w:pPr>
      <w:r>
        <w:rPr>
          <w:sz w:val="21"/>
        </w:rPr>
        <w:t>Section VIII D, file 06_training.</w:t>
      </w:r>
    </w:p>
    <w:p>
      <w:pPr>
        <w:pStyle w:val="ListBullet"/>
        <w:spacing w:after="40"/>
      </w:pPr>
      <w:r>
        <w:rPr>
          <w:sz w:val="21"/>
        </w:rPr>
        <w:t>Section IX D,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I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the no adaptation blocks of Table 3. What needs training is the move to a new backbone, because the head reads that backbone's features, and that cost is what Section IX I reports. This happens twice and we say so.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the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IV A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G, see the response to comment 3.12. The Lipschitz constant is computed from the trained weights by a method of the release and the realised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G,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