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initializer after 2082 optimizer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realized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normalization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normalization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organized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optimization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cannot give a link during review without identifying ourselves, so it goes public under a permanent citable identifier on acceptance, and we will supply it to the editorial office in any anonymized form the office prefers.</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F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F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VIII A is the only place the map is trained toward a meaning. It rewards agreement between the map and the estimated correction potential, so the map is pushed to be high where the correction has room to act. Whether that coincides with backbone error is exactly what Section IX F measures.</w:t>
      </w:r>
    </w:p>
    <w:p>
      <w:pPr>
        <w:spacing w:before="120" w:after="40"/>
      </w:pPr>
      <w:r>
        <w:rPr>
          <w:b/>
          <w:sz w:val="21"/>
        </w:rPr>
        <w:t>Changes in the manuscript</w:t>
      </w:r>
    </w:p>
    <w:p>
      <w:pPr>
        <w:pStyle w:val="ListBullet"/>
        <w:spacing w:after="40"/>
      </w:pPr>
      <w:r>
        <w:rPr>
          <w:sz w:val="21"/>
        </w:rPr>
        <w:t>Section IX F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S1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S1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H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H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Fig. S1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C says which quantities were selected on validation. Only one is, the fidelity dead zone, together with the choice of background rule. Whether any of it materially affects the result. Section IX D varies the base level, each rule weight, and the conjunction, and re evaluates.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C states what was selected and how, file 06_training.</w:t>
      </w:r>
    </w:p>
    <w:p>
      <w:pPr>
        <w:pStyle w:val="ListBullet"/>
        <w:spacing w:after="40"/>
      </w:pPr>
      <w:r>
        <w:rPr>
          <w:sz w:val="21"/>
        </w:rPr>
        <w:t>Section IX D is the sensitivity study, file 07_results,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discretization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Table 4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C names the gate selected for each backbone. The revision also splits the single merged table of the first revision into three. Table 3 is the test set, Table 4 the transfer with nothing refitted, and Table 5 the component removals and the alternative operators. Table 4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labeled blocks for both protocols, without adaptation and with adaptation.</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C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C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optimization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G then measures the realized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G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A.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optimization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D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D.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D,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four parts. Section VIII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VIII B gives the schedule, the two stages, the optimizer and the three learning rates, and Algorithm 1 of the supplementary file states the procedure step by step. The seed, the dead zone and the frozen normalization statistics are given in the text around it rather than as inputs of the algorithm itself. Section VIII C states how the operating point was chosen. Section VIII D gives initialization and lists every constant with its origin in the main paper,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and initialization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H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H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G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w:t>
      </w:r>
    </w:p>
    <w:p>
      <w:pPr>
        <w:ind w:left="0"/>
        <w:jc w:val="both"/>
      </w:pPr>
      <w:r>
        <w:rPr>
          <w:b w:val="0"/>
          <w:i w:val="0"/>
          <w:sz w:val="21"/>
        </w:rPr>
        <w:t>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anonymized form the office prefers, and we would welcome that.</w:t>
      </w:r>
    </w:p>
    <w:p>
      <w:pPr>
        <w:ind w:left="0"/>
        <w:jc w:val="both"/>
      </w:pPr>
      <w:r>
        <w:rPr>
          <w:b w:val="0"/>
          <w:i w:val="0"/>
          <w:sz w:val="21"/>
        </w:rPr>
        <w:t>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E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E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labeled uniform allocation, trained. The second and third are classical operators, unsharp masking and contrast limited adaptive histogram equalization, with their strength tuned on the forty image validation subset under the same rule used for our own constants. The lower block of Table 5 reports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equalization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E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VIII D of the main paper. The budgets are fixed by the identity stated in Section V B rather than chosen, and their relative sizes preserve the ordering of the submitted version so the rule that dominated still dominates. The rule weights and the base level are learned. Section VIII C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VIII C now names all ten and the weights that do reach the loss are printed in Equations 14 to 19. The release documents that. Section IX D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Section VIII D, file 06_training.</w:t>
      </w:r>
    </w:p>
    <w:p>
      <w:pPr>
        <w:pStyle w:val="ListBullet"/>
        <w:spacing w:after="40"/>
      </w:pPr>
      <w:r>
        <w:rPr>
          <w:sz w:val="21"/>
        </w:rPr>
        <w:t>Section VIII D, file 06_training.</w:t>
      </w:r>
    </w:p>
    <w:p>
      <w:pPr>
        <w:pStyle w:val="ListBullet"/>
        <w:spacing w:after="40"/>
      </w:pPr>
      <w:r>
        <w:rPr>
          <w:sz w:val="21"/>
        </w:rPr>
        <w:t>Section IX D,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I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4. What needs training is the move to a new backbone, because the head reads that backbone's features, and that cost is what Section IX I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IV A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G, see the response to comment 3.12. The Lipschitz constant is computed from the trained weights by a method of the release and the realized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G,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center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