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F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F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F measures.</w:t>
      </w:r>
    </w:p>
    <w:p>
      <w:pPr>
        <w:spacing w:before="120" w:after="40"/>
      </w:pPr>
      <w:r>
        <w:rPr>
          <w:b/>
          <w:sz w:val="21"/>
        </w:rPr>
        <w:t>Changes in the manuscript</w:t>
      </w:r>
    </w:p>
    <w:p>
      <w:pPr>
        <w:pStyle w:val="ListBullet"/>
        <w:spacing w:after="40"/>
      </w:pPr>
      <w:r>
        <w:rPr>
          <w:sz w:val="21"/>
        </w:rPr>
        <w:t>Section IX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materially affects the result. Section IX D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D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The adapted protocol is reported in the lower block of the same table, clearly labelled, so the gap between the two is visible. Table 3 now carries both. The no adaptation blocks give the mean over three seeds for all four backbones on Duke17 and Duke2013, with the seed spread shown in the fidelity column and encoded as bold in the clinical columns, and Table S6 of the supplementary file restores the spread of every clinical cell, and 40 of those 48 backbone by measure by set pairs are positive, with contrast rising in every one of the eight rows. The adapted block gives NAFNet on both sets from the leave one subject out rerun. The table generator reads the leave one subject out result files directly and refuses to emit the block if their recorded resume checkpoint is not the selected NAFNet model, so the two protocols in one table can never describe two different models.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G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five loss terms as Equations 14 to 18 with what each measures and why that form was chosen. Section VIII B gives the schedule, the two stages, the optimiser and the three learning rates, and Algorithm 1 of the supplementary file states the procedure step by step. The seed, the dead zone and the frozen normalisation statistics are given in the text around it rather than as inputs of the algorithm itself. Section VIII C states how the operating point was chosen. Section VIII D gives initialisation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initialisation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H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G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anonymised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E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labelled uniform allocation, trained.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 Section IX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I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G, see the response to comment 3.12. The Lipschitz constant is computed from the trained weights by a method of the release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G,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